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38" w:rsidRPr="00F63D38" w:rsidRDefault="00F63D38" w:rsidP="00F63D38">
      <w:pPr>
        <w:framePr w:w="9682" w:h="1177" w:hRule="exact" w:wrap="none" w:vAnchor="page" w:hAnchor="page" w:x="1610" w:y="1101"/>
        <w:ind w:left="440" w:right="180"/>
        <w:rPr>
          <w:rFonts w:ascii="Times New Roman" w:hAnsi="Times New Roman" w:cs="Times New Roman"/>
          <w:sz w:val="30"/>
          <w:szCs w:val="30"/>
        </w:rPr>
      </w:pPr>
      <w:r w:rsidRPr="00F63D38">
        <w:rPr>
          <w:rFonts w:ascii="Times New Roman" w:hAnsi="Times New Roman" w:cs="Times New Roman"/>
          <w:sz w:val="30"/>
          <w:szCs w:val="30"/>
        </w:rPr>
        <w:t>Памятка для субъектов хозяйствования по вопросам обжалования постановлений по делам об административных правонарушениях</w:t>
      </w:r>
    </w:p>
    <w:p w:rsidR="00F63D38" w:rsidRPr="00F63D38" w:rsidRDefault="00F63D38" w:rsidP="00F63D38">
      <w:pPr>
        <w:framePr w:w="9682" w:h="1177" w:hRule="exact" w:wrap="none" w:vAnchor="page" w:hAnchor="page" w:x="1610" w:y="1101"/>
        <w:ind w:right="320"/>
        <w:jc w:val="center"/>
        <w:rPr>
          <w:rFonts w:ascii="Times New Roman" w:hAnsi="Times New Roman" w:cs="Times New Roman"/>
          <w:sz w:val="30"/>
          <w:szCs w:val="30"/>
        </w:rPr>
      </w:pPr>
      <w:r w:rsidRPr="00F63D38">
        <w:rPr>
          <w:rFonts w:ascii="Times New Roman" w:hAnsi="Times New Roman" w:cs="Times New Roman"/>
          <w:sz w:val="30"/>
          <w:szCs w:val="30"/>
        </w:rPr>
        <w:t>в органы прокуратуры.</w:t>
      </w:r>
    </w:p>
    <w:p w:rsidR="00F63D38" w:rsidRDefault="00F63D38" w:rsidP="00F63D38">
      <w:pPr>
        <w:pStyle w:val="20"/>
        <w:framePr w:w="9682" w:h="6459" w:hRule="exact" w:wrap="none" w:vAnchor="page" w:hAnchor="page" w:x="1610" w:y="2710"/>
        <w:numPr>
          <w:ilvl w:val="0"/>
          <w:numId w:val="1"/>
        </w:numPr>
        <w:shd w:val="clear" w:color="auto" w:fill="auto"/>
        <w:tabs>
          <w:tab w:val="left" w:pos="1404"/>
        </w:tabs>
        <w:spacing w:after="480" w:line="346" w:lineRule="exact"/>
        <w:ind w:firstLine="740"/>
        <w:jc w:val="both"/>
      </w:pPr>
      <w:r>
        <w:rPr>
          <w:color w:val="000000"/>
          <w:lang w:eastAsia="ru-RU" w:bidi="ru-RU"/>
        </w:rPr>
        <w:t xml:space="preserve">В органах прокуратуры рассматриваются жалобы </w:t>
      </w:r>
      <w:proofErr w:type="gramStart"/>
      <w:r>
        <w:rPr>
          <w:rStyle w:val="21"/>
        </w:rPr>
        <w:t xml:space="preserve">на вступившие в законную силу </w:t>
      </w:r>
      <w:r>
        <w:rPr>
          <w:color w:val="000000"/>
          <w:lang w:eastAsia="ru-RU" w:bidi="ru-RU"/>
        </w:rPr>
        <w:t>постановления по делам об административных правонарушениях в отношении</w:t>
      </w:r>
      <w:proofErr w:type="gramEnd"/>
      <w:r>
        <w:rPr>
          <w:color w:val="000000"/>
          <w:lang w:eastAsia="ru-RU" w:bidi="ru-RU"/>
        </w:rPr>
        <w:t xml:space="preserve"> индивидуальных предпринимателей и юридических лиц.</w:t>
      </w:r>
    </w:p>
    <w:p w:rsidR="00F63D38" w:rsidRDefault="00F63D38" w:rsidP="00F63D38">
      <w:pPr>
        <w:pStyle w:val="20"/>
        <w:framePr w:w="9682" w:h="6459" w:hRule="exact" w:wrap="none" w:vAnchor="page" w:hAnchor="page" w:x="1610" w:y="2710"/>
        <w:numPr>
          <w:ilvl w:val="0"/>
          <w:numId w:val="1"/>
        </w:numPr>
        <w:shd w:val="clear" w:color="auto" w:fill="auto"/>
        <w:tabs>
          <w:tab w:val="left" w:pos="1404"/>
        </w:tabs>
        <w:spacing w:line="346" w:lineRule="exact"/>
        <w:ind w:firstLine="740"/>
        <w:jc w:val="both"/>
      </w:pPr>
      <w:r>
        <w:rPr>
          <w:color w:val="000000"/>
          <w:lang w:eastAsia="ru-RU" w:bidi="ru-RU"/>
        </w:rPr>
        <w:t xml:space="preserve">Жалоба может быть подана </w:t>
      </w:r>
      <w:r>
        <w:rPr>
          <w:rStyle w:val="21"/>
        </w:rPr>
        <w:t xml:space="preserve">лицом, в отношении которого оно вынесено, потерпевшим, их представителями, защитником (ст.13.1 </w:t>
      </w:r>
      <w:proofErr w:type="spellStart"/>
      <w:r>
        <w:rPr>
          <w:rStyle w:val="21"/>
        </w:rPr>
        <w:t>ПИКоАП</w:t>
      </w:r>
      <w:proofErr w:type="spellEnd"/>
      <w:r>
        <w:rPr>
          <w:rStyle w:val="21"/>
        </w:rPr>
        <w:t xml:space="preserve">) </w:t>
      </w:r>
      <w:r>
        <w:rPr>
          <w:color w:val="000000"/>
          <w:lang w:eastAsia="ru-RU" w:bidi="ru-RU"/>
        </w:rPr>
        <w:t xml:space="preserve">и в ней </w:t>
      </w:r>
      <w:r>
        <w:rPr>
          <w:rStyle w:val="21"/>
        </w:rPr>
        <w:t xml:space="preserve">должны быть указаны: </w:t>
      </w:r>
      <w:r>
        <w:rPr>
          <w:color w:val="000000"/>
          <w:lang w:eastAsia="ru-RU" w:bidi="ru-RU"/>
        </w:rPr>
        <w:t>должностное лицо, орган прокуратуры, которому адресуется жалоба; наименование юридического лица, данные индивидуального предпринимателя, подающих жалобу, их место нахождения, процессуальное положение в деле об административном правонарушении; обжалуемое постановление по делу об административном правонарушении (дата, номер, орган, вынесший постановление); доводы для отмены или изменения постановления по делу об административном правонарушении. Жалоба должна быть подписана лицом, подающим жалобу, либо его представителем. К жалобе, поданной защитником или представителем, прилагается документ, подтверждающий их полномочия.</w:t>
      </w:r>
    </w:p>
    <w:p w:rsidR="00F63D38" w:rsidRDefault="00F63D38" w:rsidP="00F63D38">
      <w:pPr>
        <w:pStyle w:val="20"/>
        <w:framePr w:w="9682" w:h="763" w:hRule="exact" w:wrap="none" w:vAnchor="page" w:hAnchor="page" w:x="1610" w:y="9623"/>
        <w:shd w:val="clear" w:color="auto" w:fill="auto"/>
        <w:spacing w:line="350" w:lineRule="exact"/>
        <w:ind w:firstLine="740"/>
        <w:jc w:val="both"/>
      </w:pPr>
      <w:r>
        <w:rPr>
          <w:color w:val="000000"/>
          <w:lang w:eastAsia="ru-RU" w:bidi="ru-RU"/>
        </w:rPr>
        <w:t>3. Ставки госпошлины при подаче жалобы в прокуратуру на постановление о наложении:</w:t>
      </w:r>
    </w:p>
    <w:p w:rsidR="00F63D38" w:rsidRDefault="00F63D38" w:rsidP="00F63D38">
      <w:pPr>
        <w:pStyle w:val="80"/>
        <w:framePr w:w="9682" w:h="2837" w:hRule="exact" w:wrap="none" w:vAnchor="page" w:hAnchor="page" w:x="1610" w:y="10675"/>
        <w:numPr>
          <w:ilvl w:val="0"/>
          <w:numId w:val="2"/>
        </w:numPr>
        <w:shd w:val="clear" w:color="auto" w:fill="auto"/>
        <w:tabs>
          <w:tab w:val="left" w:pos="822"/>
        </w:tabs>
        <w:spacing w:before="0"/>
        <w:ind w:left="620" w:right="4930" w:firstLine="0"/>
      </w:pPr>
      <w:r>
        <w:rPr>
          <w:color w:val="000000"/>
          <w:sz w:val="24"/>
          <w:szCs w:val="24"/>
          <w:lang w:eastAsia="ru-RU" w:bidi="ru-RU"/>
        </w:rPr>
        <w:t>штрафа в размере:</w:t>
      </w:r>
    </w:p>
    <w:p w:rsidR="00F63D38" w:rsidRDefault="00F63D38" w:rsidP="00F63D38">
      <w:pPr>
        <w:pStyle w:val="80"/>
        <w:framePr w:w="9682" w:h="2837" w:hRule="exact" w:wrap="none" w:vAnchor="page" w:hAnchor="page" w:x="1610" w:y="10675"/>
        <w:shd w:val="clear" w:color="auto" w:fill="auto"/>
        <w:spacing w:before="0"/>
        <w:ind w:left="900" w:right="480" w:firstLine="0"/>
        <w:jc w:val="left"/>
      </w:pPr>
      <w:r>
        <w:rPr>
          <w:color w:val="000000"/>
          <w:sz w:val="24"/>
          <w:szCs w:val="24"/>
          <w:lang w:eastAsia="ru-RU" w:bidi="ru-RU"/>
        </w:rPr>
        <w:t>менее 10 базовых величин</w:t>
      </w:r>
      <w:r>
        <w:rPr>
          <w:color w:val="000000"/>
          <w:sz w:val="24"/>
          <w:szCs w:val="24"/>
          <w:lang w:eastAsia="ru-RU" w:bidi="ru-RU"/>
        </w:rPr>
        <w:br/>
        <w:t>от 10 до 100 базовых величин</w:t>
      </w:r>
      <w:r>
        <w:rPr>
          <w:color w:val="000000"/>
          <w:sz w:val="24"/>
          <w:szCs w:val="24"/>
          <w:lang w:eastAsia="ru-RU" w:bidi="ru-RU"/>
        </w:rPr>
        <w:br/>
        <w:t>от 100 базовых величин и более</w:t>
      </w:r>
    </w:p>
    <w:p w:rsidR="00F63D38" w:rsidRDefault="00F63D38" w:rsidP="00F63D38">
      <w:pPr>
        <w:pStyle w:val="80"/>
        <w:framePr w:w="9682" w:h="2837" w:hRule="exact" w:wrap="none" w:vAnchor="page" w:hAnchor="page" w:x="1610" w:y="10675"/>
        <w:numPr>
          <w:ilvl w:val="0"/>
          <w:numId w:val="2"/>
        </w:numPr>
        <w:shd w:val="clear" w:color="auto" w:fill="auto"/>
        <w:tabs>
          <w:tab w:val="left" w:pos="822"/>
        </w:tabs>
        <w:spacing w:before="0"/>
        <w:ind w:left="620" w:right="4930" w:firstLine="0"/>
      </w:pPr>
      <w:r>
        <w:rPr>
          <w:color w:val="000000"/>
          <w:sz w:val="24"/>
          <w:szCs w:val="24"/>
          <w:lang w:eastAsia="ru-RU" w:bidi="ru-RU"/>
        </w:rPr>
        <w:t>иного административного взыскания</w:t>
      </w:r>
    </w:p>
    <w:p w:rsidR="00F63D38" w:rsidRDefault="00F63D38" w:rsidP="00F63D38">
      <w:pPr>
        <w:pStyle w:val="80"/>
        <w:framePr w:w="9682" w:h="2837" w:hRule="exact" w:wrap="none" w:vAnchor="page" w:hAnchor="page" w:x="1610" w:y="10675"/>
        <w:numPr>
          <w:ilvl w:val="0"/>
          <w:numId w:val="2"/>
        </w:numPr>
        <w:shd w:val="clear" w:color="auto" w:fill="auto"/>
        <w:tabs>
          <w:tab w:val="left" w:pos="827"/>
        </w:tabs>
        <w:spacing w:before="0" w:line="197" w:lineRule="exact"/>
        <w:ind w:left="620"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не </w:t>
      </w:r>
      <w:proofErr w:type="gramStart"/>
      <w:r>
        <w:rPr>
          <w:color w:val="000000"/>
          <w:sz w:val="24"/>
          <w:szCs w:val="24"/>
          <w:lang w:eastAsia="ru-RU" w:bidi="ru-RU"/>
        </w:rPr>
        <w:t>связанное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 наложением взыскания,</w:t>
      </w:r>
      <w:r>
        <w:rPr>
          <w:color w:val="000000"/>
          <w:sz w:val="24"/>
          <w:szCs w:val="24"/>
          <w:lang w:eastAsia="ru-RU" w:bidi="ru-RU"/>
        </w:rPr>
        <w:br/>
        <w:t>в том числе о прекращении дела об</w:t>
      </w:r>
      <w:r>
        <w:rPr>
          <w:color w:val="000000"/>
          <w:sz w:val="24"/>
          <w:szCs w:val="24"/>
          <w:lang w:eastAsia="ru-RU" w:bidi="ru-RU"/>
        </w:rPr>
        <w:br/>
        <w:t>административном правонарушении</w:t>
      </w:r>
    </w:p>
    <w:p w:rsidR="00F63D38" w:rsidRDefault="00F63D38" w:rsidP="00F63D38">
      <w:pPr>
        <w:pStyle w:val="80"/>
        <w:framePr w:w="2280" w:h="2073" w:hRule="exact" w:wrap="none" w:vAnchor="page" w:hAnchor="page" w:x="7534" w:y="11069"/>
        <w:shd w:val="clear" w:color="auto" w:fill="auto"/>
        <w:spacing w:before="0"/>
        <w:ind w:left="180"/>
      </w:pPr>
      <w:r>
        <w:rPr>
          <w:color w:val="000000"/>
          <w:sz w:val="24"/>
          <w:szCs w:val="24"/>
          <w:lang w:eastAsia="ru-RU" w:bidi="ru-RU"/>
        </w:rPr>
        <w:t>0,5 базовой величины</w:t>
      </w:r>
    </w:p>
    <w:p w:rsidR="00F63D38" w:rsidRDefault="00F63D38" w:rsidP="00F63D38">
      <w:pPr>
        <w:pStyle w:val="80"/>
        <w:framePr w:w="2280" w:h="2073" w:hRule="exact" w:wrap="none" w:vAnchor="page" w:hAnchor="page" w:x="7534" w:y="11069"/>
        <w:numPr>
          <w:ilvl w:val="0"/>
          <w:numId w:val="3"/>
        </w:numPr>
        <w:shd w:val="clear" w:color="auto" w:fill="auto"/>
        <w:tabs>
          <w:tab w:val="left" w:pos="182"/>
        </w:tabs>
        <w:spacing w:before="0"/>
        <w:ind w:left="180"/>
      </w:pPr>
      <w:r>
        <w:rPr>
          <w:color w:val="000000"/>
          <w:sz w:val="24"/>
          <w:szCs w:val="24"/>
          <w:lang w:eastAsia="ru-RU" w:bidi="ru-RU"/>
        </w:rPr>
        <w:t>базовые величины</w:t>
      </w:r>
    </w:p>
    <w:p w:rsidR="00F63D38" w:rsidRDefault="00F63D38" w:rsidP="00F63D38">
      <w:pPr>
        <w:pStyle w:val="80"/>
        <w:framePr w:w="2280" w:h="2073" w:hRule="exact" w:wrap="none" w:vAnchor="page" w:hAnchor="page" w:x="7534" w:y="11069"/>
        <w:numPr>
          <w:ilvl w:val="0"/>
          <w:numId w:val="3"/>
        </w:numPr>
        <w:shd w:val="clear" w:color="auto" w:fill="auto"/>
        <w:tabs>
          <w:tab w:val="left" w:pos="173"/>
        </w:tabs>
        <w:spacing w:before="0"/>
        <w:ind w:left="180"/>
      </w:pPr>
      <w:r>
        <w:rPr>
          <w:color w:val="000000"/>
          <w:sz w:val="24"/>
          <w:szCs w:val="24"/>
          <w:lang w:eastAsia="ru-RU" w:bidi="ru-RU"/>
        </w:rPr>
        <w:t>базовые величины 1 базовая величина 1 базовая величина</w:t>
      </w:r>
    </w:p>
    <w:p w:rsidR="00F63D38" w:rsidRDefault="00F63D38" w:rsidP="00F63D38">
      <w:pPr>
        <w:pStyle w:val="20"/>
        <w:framePr w:wrap="none" w:vAnchor="page" w:hAnchor="page" w:x="1610" w:y="13587"/>
        <w:shd w:val="clear" w:color="auto" w:fill="auto"/>
        <w:spacing w:line="280" w:lineRule="exact"/>
        <w:ind w:firstLine="740"/>
        <w:jc w:val="both"/>
      </w:pPr>
      <w:r>
        <w:rPr>
          <w:color w:val="000000"/>
          <w:lang w:eastAsia="ru-RU" w:bidi="ru-RU"/>
        </w:rPr>
        <w:t>(п.5 Приложения 17 к Налоговому кодексу)</w:t>
      </w:r>
    </w:p>
    <w:p w:rsidR="00F63D38" w:rsidRDefault="00F63D38" w:rsidP="00F63D38">
      <w:pPr>
        <w:rPr>
          <w:sz w:val="2"/>
          <w:szCs w:val="2"/>
        </w:rPr>
        <w:sectPr w:rsidR="00F63D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3D38" w:rsidRDefault="00F63D38" w:rsidP="00F604CE">
      <w:pPr>
        <w:framePr w:w="9720" w:h="3135" w:hRule="exact" w:wrap="none" w:vAnchor="page" w:hAnchor="page" w:x="1616" w:y="1060"/>
        <w:spacing w:line="280" w:lineRule="exact"/>
      </w:pPr>
      <w:r>
        <w:rPr>
          <w:rStyle w:val="70"/>
          <w:rFonts w:eastAsia="Arial Unicode MS"/>
          <w:b w:val="0"/>
          <w:bCs w:val="0"/>
        </w:rPr>
        <w:lastRenderedPageBreak/>
        <w:t>Факт уплаты государственной пошлины подтверждается</w:t>
      </w:r>
      <w:r w:rsidR="00F604CE">
        <w:rPr>
          <w:rStyle w:val="70"/>
          <w:rFonts w:eastAsia="Arial Unicode MS"/>
          <w:b w:val="0"/>
          <w:bCs w:val="0"/>
        </w:rPr>
        <w:t>:</w:t>
      </w:r>
    </w:p>
    <w:p w:rsidR="00F63D38" w:rsidRDefault="00F63D38" w:rsidP="00F63D38">
      <w:pPr>
        <w:pStyle w:val="20"/>
        <w:framePr w:w="9720" w:h="3135" w:hRule="exact" w:wrap="none" w:vAnchor="page" w:hAnchor="page" w:x="1616" w:y="1060"/>
        <w:shd w:val="clear" w:color="auto" w:fill="auto"/>
        <w:spacing w:after="304" w:line="350" w:lineRule="exact"/>
        <w:jc w:val="both"/>
      </w:pPr>
      <w:r>
        <w:rPr>
          <w:color w:val="000000"/>
          <w:lang w:eastAsia="ru-RU" w:bidi="ru-RU"/>
        </w:rPr>
        <w:t>оригиналом квитанции, чека, платежного поручения, за исключением случая, когда государственная пошлина уплачена посредством использования системы ЕРИП и учетный номер операции (транзакции) в едином расчетном и информационном пространстве указан в жалобе.</w:t>
      </w:r>
    </w:p>
    <w:p w:rsidR="00F63D38" w:rsidRDefault="00F63D38" w:rsidP="00F63D38">
      <w:pPr>
        <w:pStyle w:val="20"/>
        <w:framePr w:w="9720" w:h="3135" w:hRule="exact" w:wrap="none" w:vAnchor="page" w:hAnchor="page" w:x="1616" w:y="1060"/>
        <w:shd w:val="clear" w:color="auto" w:fill="auto"/>
        <w:spacing w:line="346" w:lineRule="exact"/>
        <w:ind w:firstLine="740"/>
        <w:jc w:val="both"/>
      </w:pPr>
      <w:r>
        <w:rPr>
          <w:color w:val="000000"/>
          <w:lang w:eastAsia="ru-RU" w:bidi="ru-RU"/>
        </w:rPr>
        <w:t>Госпошлина уплачивается в бюджет (на расчетный счет финансового отдела (управления)) по месту нахождения прокуратуры, к компетенции которой относится рассмотрение жалобы.</w:t>
      </w:r>
    </w:p>
    <w:p w:rsidR="00F63D38" w:rsidRDefault="00F63D38" w:rsidP="00F63D38">
      <w:pPr>
        <w:pStyle w:val="20"/>
        <w:framePr w:w="9720" w:h="3173" w:hRule="exact" w:wrap="none" w:vAnchor="page" w:hAnchor="page" w:x="1616" w:y="4488"/>
        <w:shd w:val="clear" w:color="auto" w:fill="auto"/>
        <w:spacing w:after="300" w:line="346" w:lineRule="exact"/>
        <w:ind w:firstLine="740"/>
        <w:jc w:val="left"/>
      </w:pPr>
      <w:r>
        <w:rPr>
          <w:rStyle w:val="21"/>
        </w:rPr>
        <w:t xml:space="preserve">Реквизиты для обращения в Генеральную прокуратуру: </w:t>
      </w:r>
      <w:r>
        <w:rPr>
          <w:color w:val="000000"/>
          <w:lang w:eastAsia="ru-RU" w:bidi="ru-RU"/>
        </w:rPr>
        <w:t xml:space="preserve">Расчетный счет: </w:t>
      </w:r>
      <w:proofErr w:type="gramStart"/>
      <w:r>
        <w:rPr>
          <w:color w:val="000000"/>
          <w:lang w:val="en-US" w:bidi="en-US"/>
        </w:rPr>
        <w:t>BY</w:t>
      </w:r>
      <w:r w:rsidRPr="00207F85">
        <w:rPr>
          <w:color w:val="000000"/>
          <w:lang w:bidi="en-US"/>
        </w:rPr>
        <w:t xml:space="preserve">48 </w:t>
      </w:r>
      <w:r>
        <w:rPr>
          <w:color w:val="000000"/>
          <w:lang w:eastAsia="ru-RU" w:bidi="ru-RU"/>
        </w:rPr>
        <w:t xml:space="preserve">АКВВ 3602 1010 0006 8000 0000 в ОАО "АСБ </w:t>
      </w:r>
      <w:proofErr w:type="spellStart"/>
      <w:r>
        <w:rPr>
          <w:color w:val="000000"/>
          <w:lang w:eastAsia="ru-RU" w:bidi="ru-RU"/>
        </w:rPr>
        <w:t>Беларусбанк</w:t>
      </w:r>
      <w:proofErr w:type="spellEnd"/>
      <w:r>
        <w:rPr>
          <w:color w:val="000000"/>
          <w:lang w:eastAsia="ru-RU" w:bidi="ru-RU"/>
        </w:rPr>
        <w:t>".</w:t>
      </w:r>
      <w:proofErr w:type="gramEnd"/>
      <w:r>
        <w:rPr>
          <w:color w:val="000000"/>
          <w:lang w:eastAsia="ru-RU" w:bidi="ru-RU"/>
        </w:rPr>
        <w:t xml:space="preserve"> Банковский идентификационный код (БИК): </w:t>
      </w:r>
      <w:r>
        <w:rPr>
          <w:color w:val="000000"/>
          <w:lang w:val="en-US" w:bidi="en-US"/>
        </w:rPr>
        <w:t>AKBBBY</w:t>
      </w:r>
      <w:r w:rsidRPr="00207F85">
        <w:rPr>
          <w:color w:val="000000"/>
          <w:lang w:bidi="en-US"/>
        </w:rPr>
        <w:t>2</w:t>
      </w:r>
      <w:r>
        <w:rPr>
          <w:color w:val="000000"/>
          <w:lang w:val="en-US" w:bidi="en-US"/>
        </w:rPr>
        <w:t>X</w:t>
      </w:r>
      <w:r w:rsidRPr="00207F85">
        <w:rPr>
          <w:color w:val="000000"/>
          <w:lang w:bidi="en-US"/>
        </w:rPr>
        <w:t xml:space="preserve"> </w:t>
      </w:r>
      <w:r>
        <w:rPr>
          <w:rStyle w:val="21"/>
        </w:rPr>
        <w:t xml:space="preserve">УНП: </w:t>
      </w:r>
      <w:r>
        <w:rPr>
          <w:color w:val="000000"/>
          <w:lang w:eastAsia="ru-RU" w:bidi="ru-RU"/>
        </w:rPr>
        <w:t xml:space="preserve">101530339. Код платежа в бюджет: для физлиц - 03002, для </w:t>
      </w:r>
      <w:proofErr w:type="spellStart"/>
      <w:r>
        <w:rPr>
          <w:color w:val="000000"/>
          <w:lang w:eastAsia="ru-RU" w:bidi="ru-RU"/>
        </w:rPr>
        <w:t>юрлиц</w:t>
      </w:r>
      <w:proofErr w:type="spellEnd"/>
      <w:r>
        <w:rPr>
          <w:color w:val="000000"/>
          <w:lang w:eastAsia="ru-RU" w:bidi="ru-RU"/>
        </w:rPr>
        <w:t xml:space="preserve"> - 03001. Получатель: ГУ МФ по </w:t>
      </w:r>
      <w:proofErr w:type="spellStart"/>
      <w:r>
        <w:rPr>
          <w:color w:val="000000"/>
          <w:lang w:eastAsia="ru-RU" w:bidi="ru-RU"/>
        </w:rPr>
        <w:t>г</w:t>
      </w:r>
      <w:proofErr w:type="gramStart"/>
      <w:r>
        <w:rPr>
          <w:color w:val="000000"/>
          <w:lang w:eastAsia="ru-RU" w:bidi="ru-RU"/>
        </w:rPr>
        <w:t>.М</w:t>
      </w:r>
      <w:proofErr w:type="gramEnd"/>
      <w:r>
        <w:rPr>
          <w:color w:val="000000"/>
          <w:lang w:eastAsia="ru-RU" w:bidi="ru-RU"/>
        </w:rPr>
        <w:t>инску</w:t>
      </w:r>
      <w:proofErr w:type="spellEnd"/>
      <w:r>
        <w:rPr>
          <w:color w:val="000000"/>
          <w:lang w:eastAsia="ru-RU" w:bidi="ru-RU"/>
        </w:rPr>
        <w:t>.</w:t>
      </w:r>
    </w:p>
    <w:p w:rsidR="00F63D38" w:rsidRDefault="00F63D38" w:rsidP="00F63D38">
      <w:pPr>
        <w:pStyle w:val="20"/>
        <w:framePr w:w="9720" w:h="3173" w:hRule="exact" w:wrap="none" w:vAnchor="page" w:hAnchor="page" w:x="1616" w:y="4488"/>
        <w:shd w:val="clear" w:color="auto" w:fill="auto"/>
        <w:spacing w:line="346" w:lineRule="exact"/>
        <w:ind w:firstLine="740"/>
        <w:jc w:val="both"/>
      </w:pPr>
      <w:r>
        <w:rPr>
          <w:color w:val="000000"/>
          <w:lang w:eastAsia="ru-RU" w:bidi="ru-RU"/>
        </w:rPr>
        <w:t>4. Жалоба может быть подана в течение шести месяцев со дня вступления в законную силу постановления по делу об административном правонарушении (</w:t>
      </w:r>
      <w:proofErr w:type="spellStart"/>
      <w:r>
        <w:rPr>
          <w:color w:val="000000"/>
          <w:lang w:eastAsia="ru-RU" w:bidi="ru-RU"/>
        </w:rPr>
        <w:t>ч</w:t>
      </w:r>
      <w:proofErr w:type="gramStart"/>
      <w:r>
        <w:rPr>
          <w:color w:val="000000"/>
          <w:lang w:eastAsia="ru-RU" w:bidi="ru-RU"/>
        </w:rPr>
        <w:t>.З</w:t>
      </w:r>
      <w:proofErr w:type="spellEnd"/>
      <w:proofErr w:type="gramEnd"/>
      <w:r>
        <w:rPr>
          <w:color w:val="000000"/>
          <w:lang w:eastAsia="ru-RU" w:bidi="ru-RU"/>
        </w:rPr>
        <w:t xml:space="preserve"> ст. 13.12 </w:t>
      </w:r>
      <w:proofErr w:type="spellStart"/>
      <w:r>
        <w:rPr>
          <w:color w:val="000000"/>
          <w:lang w:eastAsia="ru-RU" w:bidi="ru-RU"/>
        </w:rPr>
        <w:t>ПИКоАП</w:t>
      </w:r>
      <w:proofErr w:type="spellEnd"/>
      <w:r>
        <w:rPr>
          <w:color w:val="000000"/>
          <w:lang w:eastAsia="ru-RU" w:bidi="ru-RU"/>
        </w:rPr>
        <w:t>).</w:t>
      </w:r>
    </w:p>
    <w:p w:rsidR="00F63D38" w:rsidRDefault="00F63D38" w:rsidP="00F63D38">
      <w:pPr>
        <w:framePr w:w="9062" w:h="664" w:hRule="exact" w:wrap="none" w:vAnchor="page" w:hAnchor="page" w:x="2274" w:y="8011"/>
        <w:spacing w:line="280" w:lineRule="exact"/>
      </w:pPr>
      <w:r>
        <w:rPr>
          <w:rStyle w:val="a4"/>
          <w:rFonts w:eastAsia="Arial Unicode MS"/>
          <w:b w:val="0"/>
          <w:bCs w:val="0"/>
        </w:rPr>
        <w:t>Жалоба, поданная лицами, не имеющими права на обжалование</w:t>
      </w:r>
    </w:p>
    <w:p w:rsidR="00F63D38" w:rsidRDefault="00F63D38" w:rsidP="00F63D38">
      <w:pPr>
        <w:framePr w:w="9062" w:h="664" w:hRule="exact" w:wrap="none" w:vAnchor="page" w:hAnchor="page" w:x="2274" w:y="8011"/>
        <w:spacing w:line="280" w:lineRule="exact"/>
      </w:pPr>
      <w:proofErr w:type="spellStart"/>
      <w:r>
        <w:t>ПИКоАП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5640"/>
        <w:gridCol w:w="1651"/>
      </w:tblGrid>
      <w:tr w:rsidR="00F63D38" w:rsidTr="005A5BA3">
        <w:trPr>
          <w:trHeight w:hRule="exact" w:val="437"/>
        </w:trPr>
        <w:tc>
          <w:tcPr>
            <w:tcW w:w="2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3D38" w:rsidRDefault="00F63D38" w:rsidP="005A5BA3">
            <w:pPr>
              <w:pStyle w:val="20"/>
              <w:framePr w:w="9677" w:h="1147" w:wrap="none" w:vAnchor="page" w:hAnchor="page" w:x="1621" w:y="855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 xml:space="preserve">требованиям </w:t>
            </w:r>
            <w:proofErr w:type="gramStart"/>
            <w:r>
              <w:rPr>
                <w:rStyle w:val="21"/>
              </w:rPr>
              <w:t>к</w:t>
            </w:r>
            <w:proofErr w:type="gramEnd"/>
          </w:p>
        </w:tc>
        <w:tc>
          <w:tcPr>
            <w:tcW w:w="56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3D38" w:rsidRDefault="00F63D38" w:rsidP="005A5BA3">
            <w:pPr>
              <w:pStyle w:val="20"/>
              <w:framePr w:w="9677" w:h="1147" w:wrap="none" w:vAnchor="page" w:hAnchor="page" w:x="1621" w:y="8556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1"/>
              </w:rPr>
              <w:t xml:space="preserve">форме и содержанию, </w:t>
            </w:r>
            <w:proofErr w:type="gramStart"/>
            <w:r>
              <w:rPr>
                <w:rStyle w:val="21"/>
              </w:rPr>
              <w:t>поданная</w:t>
            </w:r>
            <w:proofErr w:type="gramEnd"/>
            <w:r>
              <w:rPr>
                <w:rStyle w:val="21"/>
              </w:rPr>
              <w:t xml:space="preserve"> с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3D38" w:rsidRDefault="00F63D38" w:rsidP="005A5BA3">
            <w:pPr>
              <w:pStyle w:val="20"/>
              <w:framePr w:w="9677" w:h="1147" w:wrap="none" w:vAnchor="page" w:hAnchor="page" w:x="1621" w:y="8556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1"/>
              </w:rPr>
              <w:t>пропуском</w:t>
            </w:r>
          </w:p>
        </w:tc>
      </w:tr>
      <w:tr w:rsidR="00F63D38" w:rsidTr="005A5BA3">
        <w:trPr>
          <w:trHeight w:hRule="exact" w:val="341"/>
        </w:trPr>
        <w:tc>
          <w:tcPr>
            <w:tcW w:w="2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3D38" w:rsidRDefault="00F63D38" w:rsidP="005A5BA3">
            <w:pPr>
              <w:pStyle w:val="20"/>
              <w:framePr w:w="9677" w:h="1147" w:wrap="none" w:vAnchor="page" w:hAnchor="page" w:x="1621" w:y="8556"/>
              <w:shd w:val="clear" w:color="auto" w:fill="auto"/>
              <w:spacing w:line="280" w:lineRule="exact"/>
              <w:jc w:val="left"/>
            </w:pPr>
            <w:proofErr w:type="gramStart"/>
            <w:r>
              <w:rPr>
                <w:rStyle w:val="21"/>
              </w:rPr>
              <w:t>установленного</w:t>
            </w:r>
            <w:proofErr w:type="gramEnd"/>
          </w:p>
        </w:tc>
        <w:tc>
          <w:tcPr>
            <w:tcW w:w="56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3D38" w:rsidRDefault="00F63D38" w:rsidP="005A5BA3">
            <w:pPr>
              <w:pStyle w:val="20"/>
              <w:framePr w:w="9677" w:h="1147" w:wrap="none" w:vAnchor="page" w:hAnchor="page" w:x="1621" w:y="8556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1"/>
              </w:rPr>
              <w:t>на обжалование срока либо не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3D38" w:rsidRDefault="00F63D38" w:rsidP="005A5BA3">
            <w:pPr>
              <w:pStyle w:val="20"/>
              <w:framePr w:w="9677" w:h="1147" w:wrap="none" w:vAnchor="page" w:hAnchor="page" w:x="1621" w:y="855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оплаченная</w:t>
            </w:r>
          </w:p>
        </w:tc>
      </w:tr>
      <w:tr w:rsidR="00F63D38" w:rsidTr="005A5BA3">
        <w:trPr>
          <w:trHeight w:hRule="exact" w:val="370"/>
        </w:trPr>
        <w:tc>
          <w:tcPr>
            <w:tcW w:w="96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D38" w:rsidRDefault="00F63D38" w:rsidP="005A5BA3">
            <w:pPr>
              <w:pStyle w:val="20"/>
              <w:framePr w:w="9677" w:h="1147" w:wrap="none" w:vAnchor="page" w:hAnchor="page" w:x="1621" w:y="855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 xml:space="preserve">(не полностью </w:t>
            </w:r>
            <w:proofErr w:type="gramStart"/>
            <w:r>
              <w:rPr>
                <w:rStyle w:val="21"/>
              </w:rPr>
              <w:t>оплаченная</w:t>
            </w:r>
            <w:proofErr w:type="gramEnd"/>
            <w:r>
              <w:rPr>
                <w:rStyle w:val="21"/>
              </w:rPr>
              <w:t>) госпошлиной, рассмотрению не подлежит</w:t>
            </w:r>
          </w:p>
        </w:tc>
      </w:tr>
    </w:tbl>
    <w:p w:rsidR="00F63D38" w:rsidRDefault="00F63D38" w:rsidP="00F63D38">
      <w:pPr>
        <w:framePr w:wrap="none" w:vAnchor="page" w:hAnchor="page" w:x="1635" w:y="9729"/>
        <w:spacing w:line="280" w:lineRule="exact"/>
      </w:pPr>
      <w:r>
        <w:rPr>
          <w:rStyle w:val="a4"/>
          <w:rFonts w:eastAsia="Arial Unicode MS"/>
          <w:b w:val="0"/>
          <w:bCs w:val="0"/>
        </w:rPr>
        <w:t>и возвращается заявителю.</w:t>
      </w:r>
    </w:p>
    <w:p w:rsidR="00F63D38" w:rsidRDefault="00F63D38" w:rsidP="00F63D38">
      <w:pPr>
        <w:rPr>
          <w:sz w:val="2"/>
          <w:szCs w:val="2"/>
        </w:rPr>
        <w:sectPr w:rsidR="00F63D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333FA7" w:rsidRDefault="00333FA7" w:rsidP="00417293">
      <w:pPr>
        <w:framePr w:w="9830" w:h="13961" w:hRule="exact" w:wrap="none" w:vAnchor="page" w:hAnchor="page" w:x="1484" w:y="1107"/>
        <w:spacing w:line="374" w:lineRule="exact"/>
        <w:ind w:right="20"/>
        <w:jc w:val="center"/>
      </w:pPr>
    </w:p>
    <w:sectPr w:rsidR="00333FA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5EB"/>
    <w:multiLevelType w:val="multilevel"/>
    <w:tmpl w:val="C17E706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762E45"/>
    <w:multiLevelType w:val="multilevel"/>
    <w:tmpl w:val="7C7E8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E36922"/>
    <w:multiLevelType w:val="multilevel"/>
    <w:tmpl w:val="1996F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57"/>
    <w:rsid w:val="00333FA7"/>
    <w:rsid w:val="00417293"/>
    <w:rsid w:val="00870D26"/>
    <w:rsid w:val="00942E57"/>
    <w:rsid w:val="00F604CE"/>
    <w:rsid w:val="00F6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3D3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3D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63D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rsid w:val="00F63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F63D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0">
    <w:name w:val="Основной текст (7)"/>
    <w:basedOn w:val="7"/>
    <w:rsid w:val="00F63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Подпись к таблице_"/>
    <w:basedOn w:val="a0"/>
    <w:rsid w:val="00F63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F63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F63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63D38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F63D38"/>
    <w:pPr>
      <w:shd w:val="clear" w:color="auto" w:fill="FFFFFF"/>
      <w:spacing w:before="360" w:line="403" w:lineRule="exact"/>
      <w:ind w:hanging="1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3D3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3D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63D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rsid w:val="00F63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F63D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0">
    <w:name w:val="Основной текст (7)"/>
    <w:basedOn w:val="7"/>
    <w:rsid w:val="00F63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Подпись к таблице_"/>
    <w:basedOn w:val="a0"/>
    <w:rsid w:val="00F63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F63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F63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63D38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F63D38"/>
    <w:pPr>
      <w:shd w:val="clear" w:color="auto" w:fill="FFFFFF"/>
      <w:spacing w:before="360" w:line="403" w:lineRule="exact"/>
      <w:ind w:hanging="1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2021-09-14T08:51:00Z</dcterms:created>
  <dcterms:modified xsi:type="dcterms:W3CDTF">2021-09-14T09:39:00Z</dcterms:modified>
</cp:coreProperties>
</file>