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0D62" w:rsidRPr="00DE643C" w:rsidRDefault="00F00D62" w:rsidP="00F00D62">
      <w:pPr>
        <w:pStyle w:val="newncpi0"/>
        <w:jc w:val="center"/>
      </w:pPr>
      <w:bookmarkStart w:id="0" w:name="_GoBack"/>
      <w:r w:rsidRPr="00DE643C">
        <w:rPr>
          <w:rStyle w:val="name"/>
        </w:rPr>
        <w:t>ПОСТАНОВЛЕНИЕ </w:t>
      </w:r>
      <w:r w:rsidRPr="00DE643C">
        <w:rPr>
          <w:rStyle w:val="promulgator"/>
        </w:rPr>
        <w:t>СОВЕТА МИНИСТРОВ РЕСПУБЛИКИ БЕЛАРУСЬ</w:t>
      </w:r>
    </w:p>
    <w:bookmarkEnd w:id="0"/>
    <w:p w:rsidR="00F00D62" w:rsidRPr="00DE643C" w:rsidRDefault="00F00D62" w:rsidP="00F00D62">
      <w:pPr>
        <w:pStyle w:val="newncpi"/>
        <w:ind w:firstLine="0"/>
        <w:jc w:val="center"/>
      </w:pPr>
      <w:r w:rsidRPr="00DE643C">
        <w:rPr>
          <w:rStyle w:val="datepr"/>
        </w:rPr>
        <w:t>30 июня 2020 г.</w:t>
      </w:r>
      <w:r w:rsidRPr="00DE643C">
        <w:rPr>
          <w:rStyle w:val="number"/>
        </w:rPr>
        <w:t xml:space="preserve"> № 388</w:t>
      </w:r>
    </w:p>
    <w:p w:rsidR="00F00D62" w:rsidRPr="00DE643C" w:rsidRDefault="00F00D62" w:rsidP="00F00D62">
      <w:pPr>
        <w:pStyle w:val="titlencpi"/>
      </w:pPr>
      <w:r w:rsidRPr="00DE643C">
        <w:t>О реализации Указа Президента Республики Беларусь от 17 января 2020 г. № 16</w:t>
      </w:r>
    </w:p>
    <w:p w:rsidR="00F00D62" w:rsidRPr="00DE643C" w:rsidRDefault="00F00D62" w:rsidP="00F00D62">
      <w:pPr>
        <w:pStyle w:val="preamble"/>
      </w:pPr>
      <w:r w:rsidRPr="00DE643C">
        <w:t>Во исполнение пункта 5 Указа Президента Республики Беларусь от 17 января 2020 г. № 16 «О совершенствовании порядка обращения с отходами товаров и упаковки» Совет Министров Республики Беларусь ПОСТАНОВЛЯЕТ:</w:t>
      </w:r>
    </w:p>
    <w:p w:rsidR="00F00D62" w:rsidRPr="00DE643C" w:rsidRDefault="00F00D62" w:rsidP="00F00D62">
      <w:pPr>
        <w:pStyle w:val="point"/>
      </w:pPr>
      <w:r w:rsidRPr="00DE643C">
        <w:t>1. Утвердить:</w:t>
      </w:r>
    </w:p>
    <w:p w:rsidR="00F00D62" w:rsidRPr="00DE643C" w:rsidRDefault="00F00D62" w:rsidP="00F00D62">
      <w:pPr>
        <w:pStyle w:val="newncpi"/>
      </w:pPr>
      <w:r w:rsidRPr="00DE643C">
        <w:t xml:space="preserve">Положение о координации деятельности в сфере обращения </w:t>
      </w:r>
      <w:proofErr w:type="gramStart"/>
      <w:r w:rsidRPr="00DE643C">
        <w:t>со</w:t>
      </w:r>
      <w:proofErr w:type="gramEnd"/>
      <w:r w:rsidRPr="00DE643C">
        <w:t> вторичными материальными ресурсами и отходами, образующимися после утраты потребительских свойств товаров и упаковки (прилагается);</w:t>
      </w:r>
    </w:p>
    <w:p w:rsidR="00F00D62" w:rsidRPr="00DE643C" w:rsidRDefault="00F00D62" w:rsidP="00F00D62">
      <w:pPr>
        <w:pStyle w:val="newncpi"/>
      </w:pPr>
      <w:r w:rsidRPr="00DE643C">
        <w:t>Положение о порядке, условиях применения и требованиях к собственной системе сбора, обезвреживания и (или) использования отходов товаров и упаковки (прилагается);</w:t>
      </w:r>
    </w:p>
    <w:p w:rsidR="00F00D62" w:rsidRPr="00DE643C" w:rsidRDefault="00F00D62" w:rsidP="00F00D62">
      <w:pPr>
        <w:pStyle w:val="newncpi"/>
      </w:pPr>
      <w:r w:rsidRPr="00DE643C">
        <w:t>Положение о порядке расчета суммы и сроках внесения платы за организацию сбора, обезвреживания и (или) использования отходов товаров и упаковки, порядке возврата излишне внесенной (взысканной) платы и пеней (прилагается);</w:t>
      </w:r>
    </w:p>
    <w:p w:rsidR="00F00D62" w:rsidRPr="00DE643C" w:rsidRDefault="00F00D62" w:rsidP="00F00D62">
      <w:pPr>
        <w:pStyle w:val="newncpi"/>
      </w:pPr>
      <w:r w:rsidRPr="00DE643C">
        <w:t>Положение о порядке и сроках представления информации о выполнении в отчетный период обязанности по обеспечению сбора, обезвреживания и (или) использования отходов товаров и упаковки (прилагается);</w:t>
      </w:r>
    </w:p>
    <w:p w:rsidR="00F00D62" w:rsidRPr="00DE643C" w:rsidRDefault="00F00D62" w:rsidP="00F00D62">
      <w:pPr>
        <w:pStyle w:val="newncpi"/>
      </w:pPr>
      <w:r w:rsidRPr="00DE643C">
        <w:t>Положение о порядке и условиях принятия производителями товаров и упаковки обязательств по обеспечению последующего безопасного обращения с отходами, образовавшимися в результате утраты товарами и упаковкой своих потребительских свойств (прилагается);</w:t>
      </w:r>
    </w:p>
    <w:p w:rsidR="00F00D62" w:rsidRPr="00DE643C" w:rsidRDefault="00F00D62" w:rsidP="00F00D62">
      <w:pPr>
        <w:pStyle w:val="newncpi"/>
      </w:pPr>
      <w:r w:rsidRPr="00DE643C">
        <w:t>Положение о порядке ведения реестра организаций, осуществляющих сбор, сортировку, подготовку отходов (прилагается);</w:t>
      </w:r>
    </w:p>
    <w:p w:rsidR="00F00D62" w:rsidRPr="00DE643C" w:rsidRDefault="00F00D62" w:rsidP="00F00D62">
      <w:pPr>
        <w:pStyle w:val="newncpi"/>
      </w:pPr>
      <w:r w:rsidRPr="00DE643C">
        <w:t>Положение о порядке выплаты компенсации и об основаниях для отказа в выплате компенсации (прилагается);</w:t>
      </w:r>
    </w:p>
    <w:p w:rsidR="00F00D62" w:rsidRPr="00DE643C" w:rsidRDefault="00F00D62" w:rsidP="00F00D62">
      <w:pPr>
        <w:pStyle w:val="newncpi"/>
      </w:pPr>
      <w:r w:rsidRPr="00DE643C">
        <w:t>Положение о порядке обеспечения организациями, осуществляющими розничную торговлю, сбора от физических лиц товаров, утративших потребительские свойства, и отходов упаковки в местах их реализации (ремонта, технического обслуживания) (прилагается);</w:t>
      </w:r>
    </w:p>
    <w:p w:rsidR="00F00D62" w:rsidRPr="00DE643C" w:rsidRDefault="00F00D62" w:rsidP="00F00D62">
      <w:pPr>
        <w:pStyle w:val="newncpi"/>
      </w:pPr>
      <w:r w:rsidRPr="00DE643C">
        <w:t>Положение о порядке закупок товаров (работ, услуг) за счет денежных средств, поступающих на специальный счет государственного учреждения «Оператор вторичных материальных ресурсов» (прилагается).</w:t>
      </w:r>
    </w:p>
    <w:p w:rsidR="00F00D62" w:rsidRPr="00DE643C" w:rsidRDefault="00F00D62" w:rsidP="00F00D62">
      <w:pPr>
        <w:pStyle w:val="point"/>
      </w:pPr>
      <w:r w:rsidRPr="00DE643C">
        <w:t>2. Установить:</w:t>
      </w:r>
    </w:p>
    <w:p w:rsidR="00F00D62" w:rsidRPr="00DE643C" w:rsidRDefault="00F00D62" w:rsidP="00F00D62">
      <w:pPr>
        <w:pStyle w:val="newncpi"/>
      </w:pPr>
      <w:r w:rsidRPr="00DE643C">
        <w:t>типовую форму договора об организации сбора, обезвреживания и (или) использования отходов товаров и упаковки согласно приложению 1;</w:t>
      </w:r>
    </w:p>
    <w:p w:rsidR="00F00D62" w:rsidRPr="00DE643C" w:rsidRDefault="00F00D62" w:rsidP="00F00D62">
      <w:pPr>
        <w:pStyle w:val="newncpi"/>
      </w:pPr>
      <w:r w:rsidRPr="00DE643C">
        <w:t>перечень документов, подтверждающих возникновение правовых оснований для освобождения от обязанности по обеспечению сбора, обезвреживания и (или) использования отходов товаров и упаковки, согласно приложению 2;</w:t>
      </w:r>
    </w:p>
    <w:p w:rsidR="00F00D62" w:rsidRPr="00DE643C" w:rsidRDefault="00F00D62" w:rsidP="00F00D62">
      <w:pPr>
        <w:pStyle w:val="newncpi"/>
      </w:pPr>
      <w:r w:rsidRPr="00DE643C">
        <w:t>форму представления информации о выполнении обязанности по обеспечению сбора, обезвреживания и (или) использования отходов товаров и упаковки согласно приложению 3;</w:t>
      </w:r>
    </w:p>
    <w:p w:rsidR="00F00D62" w:rsidRPr="00DE643C" w:rsidRDefault="00F00D62" w:rsidP="00F00D62">
      <w:pPr>
        <w:pStyle w:val="newncpi"/>
      </w:pPr>
      <w:r w:rsidRPr="00DE643C">
        <w:lastRenderedPageBreak/>
        <w:t>перечень товаров и упаковки, на которые распространяются требования Указа Президента Республики Беларусь от 17 января 2020 г. № 16, и размеры платы за организацию сбора, обезвреживания и (или) использования отходов товаров и упаковки согласно приложению 4.</w:t>
      </w:r>
    </w:p>
    <w:p w:rsidR="00F00D62" w:rsidRPr="00DE643C" w:rsidRDefault="00F00D62" w:rsidP="00F00D62">
      <w:pPr>
        <w:pStyle w:val="point"/>
      </w:pPr>
      <w:r w:rsidRPr="00DE643C">
        <w:t>3. Внести изменения в следующие постановления Совета Министров Республики Беларусь:</w:t>
      </w:r>
    </w:p>
    <w:p w:rsidR="00F00D62" w:rsidRPr="00DE643C" w:rsidRDefault="00F00D62" w:rsidP="00F00D62">
      <w:pPr>
        <w:pStyle w:val="underpoint"/>
      </w:pPr>
      <w:bookmarkStart w:id="1" w:name="a15"/>
      <w:bookmarkEnd w:id="1"/>
      <w:r w:rsidRPr="00DE643C">
        <w:t>3.1. в едином перечне административных процедур, осуществляемых государственными органами и иными организациями в отношении юридических лиц и индивидуальных предпринимателей, утвержденном постановлением Совета Министров Республики Беларусь от 17 февраля 2012 г. № 156:</w:t>
      </w:r>
    </w:p>
    <w:p w:rsidR="00F00D62" w:rsidRPr="00DE643C" w:rsidRDefault="00F00D62" w:rsidP="00F00D62">
      <w:pPr>
        <w:pStyle w:val="newncpi"/>
      </w:pPr>
      <w:r w:rsidRPr="00DE643C">
        <w:t>пункт 6.63 исключить;</w:t>
      </w:r>
    </w:p>
    <w:p w:rsidR="00F00D62" w:rsidRPr="00DE643C" w:rsidRDefault="00F00D62" w:rsidP="00F00D62">
      <w:pPr>
        <w:pStyle w:val="newncpi"/>
      </w:pPr>
      <w:r w:rsidRPr="00DE643C">
        <w:t>пункт 6.64 изложить в следующей редакции:</w:t>
      </w:r>
    </w:p>
    <w:p w:rsidR="00F00D62" w:rsidRPr="00DE643C" w:rsidRDefault="00F00D62" w:rsidP="00F00D62">
      <w:pPr>
        <w:pStyle w:val="newncpi"/>
      </w:pPr>
      <w:r w:rsidRPr="00DE643C">
        <w:t> </w:t>
      </w:r>
    </w:p>
    <w:p w:rsidR="00F00D62" w:rsidRPr="00DE643C" w:rsidRDefault="00F00D62" w:rsidP="00F00D62">
      <w:pPr>
        <w:sectPr w:rsidR="00F00D62" w:rsidRPr="00DE643C">
          <w:pgSz w:w="11906" w:h="16838"/>
          <w:pgMar w:top="567" w:right="1134" w:bottom="567" w:left="1417" w:header="0" w:footer="0" w:gutter="0"/>
          <w:cols w:space="720"/>
        </w:sectPr>
      </w:pPr>
    </w:p>
    <w:p w:rsidR="00F00D62" w:rsidRPr="00DE643C" w:rsidRDefault="00F00D62" w:rsidP="00F00D62">
      <w:pPr>
        <w:pStyle w:val="newncpi"/>
      </w:pPr>
      <w:r w:rsidRPr="00DE643C">
        <w:lastRenderedPageBreak/>
        <w:t> </w:t>
      </w:r>
    </w:p>
    <w:tbl>
      <w:tblPr>
        <w:tblW w:w="5000" w:type="pct"/>
        <w:tblCellMar>
          <w:left w:w="0" w:type="dxa"/>
          <w:right w:w="0" w:type="dxa"/>
        </w:tblCellMar>
        <w:tblLook w:val="04A0" w:firstRow="1" w:lastRow="0" w:firstColumn="1" w:lastColumn="0" w:noHBand="0" w:noVBand="1"/>
      </w:tblPr>
      <w:tblGrid>
        <w:gridCol w:w="3420"/>
        <w:gridCol w:w="3523"/>
        <w:gridCol w:w="2654"/>
        <w:gridCol w:w="2021"/>
        <w:gridCol w:w="2397"/>
        <w:gridCol w:w="2206"/>
      </w:tblGrid>
      <w:tr w:rsidR="00F00D62" w:rsidRPr="00DE643C" w:rsidTr="007400CB">
        <w:trPr>
          <w:trHeight w:val="238"/>
        </w:trPr>
        <w:tc>
          <w:tcPr>
            <w:tcW w:w="1054" w:type="pct"/>
            <w:vMerge w:val="restart"/>
            <w:tcBorders>
              <w:top w:val="nil"/>
              <w:left w:val="nil"/>
              <w:bottom w:val="nil"/>
              <w:right w:val="nil"/>
            </w:tcBorders>
            <w:tcMar>
              <w:top w:w="0" w:type="dxa"/>
              <w:left w:w="6" w:type="dxa"/>
              <w:bottom w:w="0" w:type="dxa"/>
              <w:right w:w="6" w:type="dxa"/>
            </w:tcMar>
            <w:hideMark/>
          </w:tcPr>
          <w:p w:rsidR="00F00D62" w:rsidRPr="00DE643C" w:rsidRDefault="00F00D62" w:rsidP="007400CB">
            <w:pPr>
              <w:pStyle w:val="table10"/>
              <w:spacing w:before="120"/>
            </w:pPr>
            <w:r w:rsidRPr="00DE643C">
              <w:t>«6.64. Регистрация в реестре организаций, осуществляющих сбор, сортировку, подготовку отходов</w:t>
            </w:r>
          </w:p>
        </w:tc>
        <w:tc>
          <w:tcPr>
            <w:tcW w:w="1086" w:type="pct"/>
            <w:vMerge w:val="restart"/>
            <w:tcBorders>
              <w:top w:val="nil"/>
              <w:left w:val="nil"/>
              <w:bottom w:val="nil"/>
              <w:right w:val="nil"/>
            </w:tcBorders>
            <w:tcMar>
              <w:top w:w="0" w:type="dxa"/>
              <w:left w:w="6" w:type="dxa"/>
              <w:bottom w:w="0" w:type="dxa"/>
              <w:right w:w="6" w:type="dxa"/>
            </w:tcMar>
            <w:hideMark/>
          </w:tcPr>
          <w:p w:rsidR="00F00D62" w:rsidRPr="00DE643C" w:rsidRDefault="00F00D62" w:rsidP="007400CB">
            <w:pPr>
              <w:pStyle w:val="table10"/>
              <w:spacing w:before="120"/>
            </w:pPr>
            <w:r w:rsidRPr="00DE643C">
              <w:t>государственное учреждение «Оператор вторичных материальных ресурсов»</w:t>
            </w:r>
          </w:p>
        </w:tc>
        <w:tc>
          <w:tcPr>
            <w:tcW w:w="818" w:type="pct"/>
            <w:tcBorders>
              <w:top w:val="nil"/>
              <w:left w:val="nil"/>
              <w:bottom w:val="nil"/>
              <w:right w:val="nil"/>
            </w:tcBorders>
            <w:tcMar>
              <w:top w:w="0" w:type="dxa"/>
              <w:left w:w="6" w:type="dxa"/>
              <w:bottom w:w="0" w:type="dxa"/>
              <w:right w:w="6" w:type="dxa"/>
            </w:tcMar>
            <w:hideMark/>
          </w:tcPr>
          <w:p w:rsidR="00F00D62" w:rsidRPr="00DE643C" w:rsidRDefault="00F00D62" w:rsidP="007400CB">
            <w:pPr>
              <w:pStyle w:val="table10"/>
              <w:spacing w:before="120"/>
            </w:pPr>
            <w:r w:rsidRPr="00DE643C">
              <w:t>заявление по установленной форме</w:t>
            </w:r>
          </w:p>
        </w:tc>
        <w:tc>
          <w:tcPr>
            <w:tcW w:w="623" w:type="pct"/>
            <w:vMerge w:val="restart"/>
            <w:tcBorders>
              <w:top w:val="nil"/>
              <w:left w:val="nil"/>
              <w:bottom w:val="nil"/>
              <w:right w:val="nil"/>
            </w:tcBorders>
            <w:tcMar>
              <w:top w:w="0" w:type="dxa"/>
              <w:left w:w="6" w:type="dxa"/>
              <w:bottom w:w="0" w:type="dxa"/>
              <w:right w:w="6" w:type="dxa"/>
            </w:tcMar>
            <w:hideMark/>
          </w:tcPr>
          <w:p w:rsidR="00F00D62" w:rsidRPr="00DE643C" w:rsidRDefault="00F00D62" w:rsidP="007400CB">
            <w:pPr>
              <w:pStyle w:val="table10"/>
              <w:spacing w:before="120"/>
            </w:pPr>
            <w:r w:rsidRPr="00DE643C">
              <w:t>15 дней</w:t>
            </w:r>
          </w:p>
        </w:tc>
        <w:tc>
          <w:tcPr>
            <w:tcW w:w="739" w:type="pct"/>
            <w:vMerge w:val="restart"/>
            <w:tcBorders>
              <w:top w:val="nil"/>
              <w:left w:val="nil"/>
              <w:bottom w:val="nil"/>
              <w:right w:val="nil"/>
            </w:tcBorders>
            <w:tcMar>
              <w:top w:w="0" w:type="dxa"/>
              <w:left w:w="6" w:type="dxa"/>
              <w:bottom w:w="0" w:type="dxa"/>
              <w:right w:w="6" w:type="dxa"/>
            </w:tcMar>
            <w:hideMark/>
          </w:tcPr>
          <w:p w:rsidR="00F00D62" w:rsidRPr="00DE643C" w:rsidRDefault="00F00D62" w:rsidP="007400CB">
            <w:pPr>
              <w:pStyle w:val="table10"/>
              <w:spacing w:before="120"/>
              <w:jc w:val="center"/>
            </w:pPr>
            <w:r w:rsidRPr="00DE643C">
              <w:t>–</w:t>
            </w:r>
          </w:p>
        </w:tc>
        <w:tc>
          <w:tcPr>
            <w:tcW w:w="680" w:type="pct"/>
            <w:vMerge w:val="restart"/>
            <w:tcBorders>
              <w:top w:val="nil"/>
              <w:left w:val="nil"/>
              <w:bottom w:val="nil"/>
              <w:right w:val="nil"/>
            </w:tcBorders>
            <w:tcMar>
              <w:top w:w="0" w:type="dxa"/>
              <w:left w:w="6" w:type="dxa"/>
              <w:bottom w:w="0" w:type="dxa"/>
              <w:right w:w="6" w:type="dxa"/>
            </w:tcMar>
            <w:hideMark/>
          </w:tcPr>
          <w:p w:rsidR="00F00D62" w:rsidRPr="00DE643C" w:rsidRDefault="00F00D62" w:rsidP="007400CB">
            <w:pPr>
              <w:pStyle w:val="table10"/>
              <w:spacing w:before="120"/>
            </w:pPr>
            <w:r w:rsidRPr="00DE643C">
              <w:t>бесплатно»;</w:t>
            </w:r>
          </w:p>
        </w:tc>
      </w:tr>
      <w:tr w:rsidR="00F00D62" w:rsidRPr="00DE643C" w:rsidTr="007400CB">
        <w:trPr>
          <w:trHeight w:val="238"/>
        </w:trPr>
        <w:tc>
          <w:tcPr>
            <w:tcW w:w="0" w:type="auto"/>
            <w:vMerge/>
            <w:tcBorders>
              <w:top w:val="nil"/>
              <w:left w:val="nil"/>
              <w:bottom w:val="nil"/>
              <w:right w:val="nil"/>
            </w:tcBorders>
            <w:vAlign w:val="center"/>
            <w:hideMark/>
          </w:tcPr>
          <w:p w:rsidR="00F00D62" w:rsidRPr="00DE643C" w:rsidRDefault="00F00D62" w:rsidP="007400CB">
            <w:pPr>
              <w:rPr>
                <w:sz w:val="20"/>
                <w:szCs w:val="20"/>
              </w:rPr>
            </w:pPr>
          </w:p>
        </w:tc>
        <w:tc>
          <w:tcPr>
            <w:tcW w:w="0" w:type="auto"/>
            <w:vMerge/>
            <w:tcBorders>
              <w:top w:val="nil"/>
              <w:left w:val="nil"/>
              <w:bottom w:val="nil"/>
              <w:right w:val="nil"/>
            </w:tcBorders>
            <w:vAlign w:val="center"/>
            <w:hideMark/>
          </w:tcPr>
          <w:p w:rsidR="00F00D62" w:rsidRPr="00DE643C" w:rsidRDefault="00F00D62" w:rsidP="007400CB">
            <w:pPr>
              <w:rPr>
                <w:sz w:val="20"/>
                <w:szCs w:val="20"/>
              </w:rPr>
            </w:pPr>
          </w:p>
        </w:tc>
        <w:tc>
          <w:tcPr>
            <w:tcW w:w="818" w:type="pct"/>
            <w:tcBorders>
              <w:top w:val="nil"/>
              <w:left w:val="nil"/>
              <w:bottom w:val="nil"/>
              <w:right w:val="nil"/>
            </w:tcBorders>
            <w:tcMar>
              <w:top w:w="0" w:type="dxa"/>
              <w:left w:w="6" w:type="dxa"/>
              <w:bottom w:w="0" w:type="dxa"/>
              <w:right w:w="6" w:type="dxa"/>
            </w:tcMar>
            <w:hideMark/>
          </w:tcPr>
          <w:p w:rsidR="00F00D62" w:rsidRPr="00DE643C" w:rsidRDefault="00F00D62" w:rsidP="007400CB">
            <w:pPr>
              <w:pStyle w:val="table10"/>
              <w:spacing w:before="120"/>
            </w:pPr>
            <w:r w:rsidRPr="00DE643C">
              <w:t>копия документа, подтверждающего государственную регистрацию юридического лица, индивидуального предпринимателя</w:t>
            </w:r>
          </w:p>
        </w:tc>
        <w:tc>
          <w:tcPr>
            <w:tcW w:w="0" w:type="auto"/>
            <w:vMerge/>
            <w:tcBorders>
              <w:top w:val="nil"/>
              <w:left w:val="nil"/>
              <w:bottom w:val="nil"/>
              <w:right w:val="nil"/>
            </w:tcBorders>
            <w:vAlign w:val="center"/>
            <w:hideMark/>
          </w:tcPr>
          <w:p w:rsidR="00F00D62" w:rsidRPr="00DE643C" w:rsidRDefault="00F00D62" w:rsidP="007400CB">
            <w:pPr>
              <w:rPr>
                <w:sz w:val="20"/>
                <w:szCs w:val="20"/>
              </w:rPr>
            </w:pPr>
          </w:p>
        </w:tc>
        <w:tc>
          <w:tcPr>
            <w:tcW w:w="0" w:type="auto"/>
            <w:vMerge/>
            <w:tcBorders>
              <w:top w:val="nil"/>
              <w:left w:val="nil"/>
              <w:bottom w:val="nil"/>
              <w:right w:val="nil"/>
            </w:tcBorders>
            <w:vAlign w:val="center"/>
            <w:hideMark/>
          </w:tcPr>
          <w:p w:rsidR="00F00D62" w:rsidRPr="00DE643C" w:rsidRDefault="00F00D62" w:rsidP="007400CB">
            <w:pPr>
              <w:rPr>
                <w:sz w:val="20"/>
                <w:szCs w:val="20"/>
              </w:rPr>
            </w:pPr>
          </w:p>
        </w:tc>
        <w:tc>
          <w:tcPr>
            <w:tcW w:w="0" w:type="auto"/>
            <w:vMerge/>
            <w:tcBorders>
              <w:top w:val="nil"/>
              <w:left w:val="nil"/>
              <w:bottom w:val="nil"/>
              <w:right w:val="nil"/>
            </w:tcBorders>
            <w:vAlign w:val="center"/>
            <w:hideMark/>
          </w:tcPr>
          <w:p w:rsidR="00F00D62" w:rsidRPr="00DE643C" w:rsidRDefault="00F00D62" w:rsidP="007400CB">
            <w:pPr>
              <w:rPr>
                <w:sz w:val="20"/>
                <w:szCs w:val="20"/>
              </w:rPr>
            </w:pPr>
          </w:p>
        </w:tc>
      </w:tr>
      <w:tr w:rsidR="00F00D62" w:rsidRPr="00DE643C" w:rsidTr="007400CB">
        <w:trPr>
          <w:trHeight w:val="238"/>
        </w:trPr>
        <w:tc>
          <w:tcPr>
            <w:tcW w:w="1054" w:type="pct"/>
            <w:tcBorders>
              <w:top w:val="nil"/>
              <w:left w:val="nil"/>
              <w:bottom w:val="nil"/>
              <w:right w:val="nil"/>
            </w:tcBorders>
            <w:tcMar>
              <w:top w:w="0" w:type="dxa"/>
              <w:left w:w="6" w:type="dxa"/>
              <w:bottom w:w="0" w:type="dxa"/>
              <w:right w:w="6" w:type="dxa"/>
            </w:tcMar>
            <w:hideMark/>
          </w:tcPr>
          <w:p w:rsidR="00F00D62" w:rsidRPr="00DE643C" w:rsidRDefault="00F00D62" w:rsidP="007400CB">
            <w:pPr>
              <w:pStyle w:val="table10"/>
              <w:spacing w:before="120"/>
            </w:pPr>
            <w:r w:rsidRPr="00DE643C">
              <w:t> </w:t>
            </w:r>
          </w:p>
        </w:tc>
        <w:tc>
          <w:tcPr>
            <w:tcW w:w="1086" w:type="pct"/>
            <w:tcBorders>
              <w:top w:val="nil"/>
              <w:left w:val="nil"/>
              <w:bottom w:val="nil"/>
              <w:right w:val="nil"/>
            </w:tcBorders>
            <w:tcMar>
              <w:top w:w="0" w:type="dxa"/>
              <w:left w:w="6" w:type="dxa"/>
              <w:bottom w:w="0" w:type="dxa"/>
              <w:right w:w="6" w:type="dxa"/>
            </w:tcMar>
            <w:hideMark/>
          </w:tcPr>
          <w:p w:rsidR="00F00D62" w:rsidRPr="00DE643C" w:rsidRDefault="00F00D62" w:rsidP="007400CB">
            <w:pPr>
              <w:pStyle w:val="table10"/>
              <w:spacing w:before="120"/>
            </w:pPr>
            <w:r w:rsidRPr="00DE643C">
              <w:t> </w:t>
            </w:r>
          </w:p>
        </w:tc>
        <w:tc>
          <w:tcPr>
            <w:tcW w:w="818" w:type="pct"/>
            <w:tcBorders>
              <w:top w:val="nil"/>
              <w:left w:val="nil"/>
              <w:bottom w:val="nil"/>
              <w:right w:val="nil"/>
            </w:tcBorders>
            <w:tcMar>
              <w:top w:w="0" w:type="dxa"/>
              <w:left w:w="6" w:type="dxa"/>
              <w:bottom w:w="0" w:type="dxa"/>
              <w:right w:w="6" w:type="dxa"/>
            </w:tcMar>
            <w:hideMark/>
          </w:tcPr>
          <w:p w:rsidR="00F00D62" w:rsidRPr="00DE643C" w:rsidRDefault="00F00D62" w:rsidP="007400CB">
            <w:pPr>
              <w:pStyle w:val="table10"/>
              <w:spacing w:before="120"/>
            </w:pPr>
            <w:r w:rsidRPr="00DE643C">
              <w:t>копии документов, подтверждающих наличие принадлежащих на праве собственности, аренды или ином законном основании:</w:t>
            </w:r>
          </w:p>
          <w:p w:rsidR="00F00D62" w:rsidRPr="00DE643C" w:rsidRDefault="00F00D62" w:rsidP="007400CB">
            <w:pPr>
              <w:pStyle w:val="table10"/>
              <w:spacing w:before="120"/>
              <w:ind w:left="283"/>
            </w:pPr>
            <w:r w:rsidRPr="00DE643C">
              <w:t>стационарных или передвижных пунктов приема (заготовки)</w:t>
            </w:r>
            <w:r w:rsidRPr="00DE643C">
              <w:br/>
              <w:t>контейнеров для сбора отходов</w:t>
            </w:r>
          </w:p>
          <w:p w:rsidR="00F00D62" w:rsidRPr="00DE643C" w:rsidRDefault="00F00D62" w:rsidP="007400CB">
            <w:pPr>
              <w:pStyle w:val="table10"/>
              <w:spacing w:before="120"/>
              <w:ind w:left="283"/>
            </w:pPr>
            <w:r w:rsidRPr="00DE643C">
              <w:t>объектов сортировки (разделения по видам) отходов</w:t>
            </w:r>
          </w:p>
        </w:tc>
        <w:tc>
          <w:tcPr>
            <w:tcW w:w="623" w:type="pct"/>
            <w:tcBorders>
              <w:top w:val="nil"/>
              <w:left w:val="nil"/>
              <w:bottom w:val="nil"/>
              <w:right w:val="nil"/>
            </w:tcBorders>
            <w:tcMar>
              <w:top w:w="0" w:type="dxa"/>
              <w:left w:w="6" w:type="dxa"/>
              <w:bottom w:w="0" w:type="dxa"/>
              <w:right w:w="6" w:type="dxa"/>
            </w:tcMar>
            <w:hideMark/>
          </w:tcPr>
          <w:p w:rsidR="00F00D62" w:rsidRPr="00DE643C" w:rsidRDefault="00F00D62" w:rsidP="007400CB">
            <w:pPr>
              <w:pStyle w:val="table10"/>
              <w:spacing w:before="120"/>
            </w:pPr>
            <w:r w:rsidRPr="00DE643C">
              <w:t> </w:t>
            </w:r>
          </w:p>
        </w:tc>
        <w:tc>
          <w:tcPr>
            <w:tcW w:w="739" w:type="pct"/>
            <w:tcBorders>
              <w:top w:val="nil"/>
              <w:left w:val="nil"/>
              <w:bottom w:val="nil"/>
              <w:right w:val="nil"/>
            </w:tcBorders>
            <w:tcMar>
              <w:top w:w="0" w:type="dxa"/>
              <w:left w:w="6" w:type="dxa"/>
              <w:bottom w:w="0" w:type="dxa"/>
              <w:right w:w="6" w:type="dxa"/>
            </w:tcMar>
            <w:hideMark/>
          </w:tcPr>
          <w:p w:rsidR="00F00D62" w:rsidRPr="00DE643C" w:rsidRDefault="00F00D62" w:rsidP="007400CB">
            <w:pPr>
              <w:pStyle w:val="table10"/>
              <w:spacing w:before="120"/>
            </w:pPr>
            <w:r w:rsidRPr="00DE643C">
              <w:t> </w:t>
            </w:r>
          </w:p>
        </w:tc>
        <w:tc>
          <w:tcPr>
            <w:tcW w:w="680" w:type="pct"/>
            <w:tcBorders>
              <w:top w:val="nil"/>
              <w:left w:val="nil"/>
              <w:bottom w:val="nil"/>
              <w:right w:val="nil"/>
            </w:tcBorders>
            <w:tcMar>
              <w:top w:w="0" w:type="dxa"/>
              <w:left w:w="6" w:type="dxa"/>
              <w:bottom w:w="0" w:type="dxa"/>
              <w:right w:w="6" w:type="dxa"/>
            </w:tcMar>
            <w:hideMark/>
          </w:tcPr>
          <w:p w:rsidR="00F00D62" w:rsidRPr="00DE643C" w:rsidRDefault="00F00D62" w:rsidP="007400CB">
            <w:pPr>
              <w:pStyle w:val="table10"/>
              <w:spacing w:before="120"/>
            </w:pPr>
            <w:r w:rsidRPr="00DE643C">
              <w:t> </w:t>
            </w:r>
          </w:p>
        </w:tc>
      </w:tr>
      <w:tr w:rsidR="00F00D62" w:rsidRPr="00DE643C" w:rsidTr="007400CB">
        <w:trPr>
          <w:trHeight w:val="238"/>
        </w:trPr>
        <w:tc>
          <w:tcPr>
            <w:tcW w:w="1054" w:type="pct"/>
            <w:tcBorders>
              <w:top w:val="nil"/>
              <w:left w:val="nil"/>
              <w:bottom w:val="nil"/>
              <w:right w:val="nil"/>
            </w:tcBorders>
            <w:tcMar>
              <w:top w:w="0" w:type="dxa"/>
              <w:left w:w="6" w:type="dxa"/>
              <w:bottom w:w="0" w:type="dxa"/>
              <w:right w:w="6" w:type="dxa"/>
            </w:tcMar>
            <w:hideMark/>
          </w:tcPr>
          <w:p w:rsidR="00F00D62" w:rsidRPr="00DE643C" w:rsidRDefault="00F00D62" w:rsidP="007400CB">
            <w:pPr>
              <w:pStyle w:val="table10"/>
              <w:spacing w:before="120"/>
            </w:pPr>
            <w:r w:rsidRPr="00DE643C">
              <w:t> </w:t>
            </w:r>
          </w:p>
        </w:tc>
        <w:tc>
          <w:tcPr>
            <w:tcW w:w="1086" w:type="pct"/>
            <w:tcBorders>
              <w:top w:val="nil"/>
              <w:left w:val="nil"/>
              <w:bottom w:val="nil"/>
              <w:right w:val="nil"/>
            </w:tcBorders>
            <w:tcMar>
              <w:top w:w="0" w:type="dxa"/>
              <w:left w:w="6" w:type="dxa"/>
              <w:bottom w:w="0" w:type="dxa"/>
              <w:right w:w="6" w:type="dxa"/>
            </w:tcMar>
            <w:hideMark/>
          </w:tcPr>
          <w:p w:rsidR="00F00D62" w:rsidRPr="00DE643C" w:rsidRDefault="00F00D62" w:rsidP="007400CB">
            <w:pPr>
              <w:pStyle w:val="table10"/>
              <w:spacing w:before="120"/>
            </w:pPr>
            <w:r w:rsidRPr="00DE643C">
              <w:t> </w:t>
            </w:r>
          </w:p>
        </w:tc>
        <w:tc>
          <w:tcPr>
            <w:tcW w:w="818" w:type="pct"/>
            <w:tcBorders>
              <w:top w:val="nil"/>
              <w:left w:val="nil"/>
              <w:bottom w:val="nil"/>
              <w:right w:val="nil"/>
            </w:tcBorders>
            <w:tcMar>
              <w:top w:w="0" w:type="dxa"/>
              <w:left w:w="6" w:type="dxa"/>
              <w:bottom w:w="0" w:type="dxa"/>
              <w:right w:w="6" w:type="dxa"/>
            </w:tcMar>
            <w:hideMark/>
          </w:tcPr>
          <w:p w:rsidR="00F00D62" w:rsidRPr="00DE643C" w:rsidRDefault="00F00D62" w:rsidP="007400CB">
            <w:pPr>
              <w:pStyle w:val="table10"/>
              <w:spacing w:before="120"/>
            </w:pPr>
            <w:r w:rsidRPr="00DE643C">
              <w:t>копии документов, подтверждающих поверку весового оборудования, применяемого для сбора (заготовки) отходов на пунктах приема (заготовки)</w:t>
            </w:r>
          </w:p>
        </w:tc>
        <w:tc>
          <w:tcPr>
            <w:tcW w:w="623" w:type="pct"/>
            <w:tcBorders>
              <w:top w:val="nil"/>
              <w:left w:val="nil"/>
              <w:bottom w:val="nil"/>
              <w:right w:val="nil"/>
            </w:tcBorders>
            <w:tcMar>
              <w:top w:w="0" w:type="dxa"/>
              <w:left w:w="6" w:type="dxa"/>
              <w:bottom w:w="0" w:type="dxa"/>
              <w:right w:w="6" w:type="dxa"/>
            </w:tcMar>
            <w:hideMark/>
          </w:tcPr>
          <w:p w:rsidR="00F00D62" w:rsidRPr="00DE643C" w:rsidRDefault="00F00D62" w:rsidP="007400CB">
            <w:pPr>
              <w:pStyle w:val="table10"/>
              <w:spacing w:before="120"/>
            </w:pPr>
            <w:r w:rsidRPr="00DE643C">
              <w:t> </w:t>
            </w:r>
          </w:p>
        </w:tc>
        <w:tc>
          <w:tcPr>
            <w:tcW w:w="739" w:type="pct"/>
            <w:tcBorders>
              <w:top w:val="nil"/>
              <w:left w:val="nil"/>
              <w:bottom w:val="nil"/>
              <w:right w:val="nil"/>
            </w:tcBorders>
            <w:tcMar>
              <w:top w:w="0" w:type="dxa"/>
              <w:left w:w="6" w:type="dxa"/>
              <w:bottom w:w="0" w:type="dxa"/>
              <w:right w:w="6" w:type="dxa"/>
            </w:tcMar>
            <w:hideMark/>
          </w:tcPr>
          <w:p w:rsidR="00F00D62" w:rsidRPr="00DE643C" w:rsidRDefault="00F00D62" w:rsidP="007400CB">
            <w:pPr>
              <w:pStyle w:val="table10"/>
              <w:spacing w:before="120"/>
            </w:pPr>
            <w:r w:rsidRPr="00DE643C">
              <w:t> </w:t>
            </w:r>
          </w:p>
        </w:tc>
        <w:tc>
          <w:tcPr>
            <w:tcW w:w="680" w:type="pct"/>
            <w:tcBorders>
              <w:top w:val="nil"/>
              <w:left w:val="nil"/>
              <w:bottom w:val="nil"/>
              <w:right w:val="nil"/>
            </w:tcBorders>
            <w:tcMar>
              <w:top w:w="0" w:type="dxa"/>
              <w:left w:w="6" w:type="dxa"/>
              <w:bottom w:w="0" w:type="dxa"/>
              <w:right w:w="6" w:type="dxa"/>
            </w:tcMar>
            <w:hideMark/>
          </w:tcPr>
          <w:p w:rsidR="00F00D62" w:rsidRPr="00DE643C" w:rsidRDefault="00F00D62" w:rsidP="007400CB">
            <w:pPr>
              <w:pStyle w:val="table10"/>
              <w:spacing w:before="120"/>
            </w:pPr>
            <w:r w:rsidRPr="00DE643C">
              <w:t> </w:t>
            </w:r>
          </w:p>
        </w:tc>
      </w:tr>
      <w:tr w:rsidR="00F00D62" w:rsidRPr="00DE643C" w:rsidTr="007400CB">
        <w:trPr>
          <w:trHeight w:val="238"/>
        </w:trPr>
        <w:tc>
          <w:tcPr>
            <w:tcW w:w="1054" w:type="pct"/>
            <w:tcBorders>
              <w:top w:val="nil"/>
              <w:left w:val="nil"/>
              <w:bottom w:val="nil"/>
              <w:right w:val="nil"/>
            </w:tcBorders>
            <w:tcMar>
              <w:top w:w="0" w:type="dxa"/>
              <w:left w:w="6" w:type="dxa"/>
              <w:bottom w:w="0" w:type="dxa"/>
              <w:right w:w="6" w:type="dxa"/>
            </w:tcMar>
            <w:hideMark/>
          </w:tcPr>
          <w:p w:rsidR="00F00D62" w:rsidRPr="00DE643C" w:rsidRDefault="00F00D62" w:rsidP="007400CB">
            <w:pPr>
              <w:pStyle w:val="table10"/>
              <w:spacing w:before="120"/>
            </w:pPr>
            <w:r w:rsidRPr="00DE643C">
              <w:t> </w:t>
            </w:r>
          </w:p>
        </w:tc>
        <w:tc>
          <w:tcPr>
            <w:tcW w:w="1086" w:type="pct"/>
            <w:tcBorders>
              <w:top w:val="nil"/>
              <w:left w:val="nil"/>
              <w:bottom w:val="nil"/>
              <w:right w:val="nil"/>
            </w:tcBorders>
            <w:tcMar>
              <w:top w:w="0" w:type="dxa"/>
              <w:left w:w="6" w:type="dxa"/>
              <w:bottom w:w="0" w:type="dxa"/>
              <w:right w:w="6" w:type="dxa"/>
            </w:tcMar>
            <w:hideMark/>
          </w:tcPr>
          <w:p w:rsidR="00F00D62" w:rsidRPr="00DE643C" w:rsidRDefault="00F00D62" w:rsidP="007400CB">
            <w:pPr>
              <w:pStyle w:val="table10"/>
              <w:spacing w:before="120"/>
            </w:pPr>
            <w:r w:rsidRPr="00DE643C">
              <w:t> </w:t>
            </w:r>
          </w:p>
        </w:tc>
        <w:tc>
          <w:tcPr>
            <w:tcW w:w="818" w:type="pct"/>
            <w:tcBorders>
              <w:top w:val="nil"/>
              <w:left w:val="nil"/>
              <w:bottom w:val="nil"/>
              <w:right w:val="nil"/>
            </w:tcBorders>
            <w:tcMar>
              <w:top w:w="0" w:type="dxa"/>
              <w:left w:w="6" w:type="dxa"/>
              <w:bottom w:w="0" w:type="dxa"/>
              <w:right w:w="6" w:type="dxa"/>
            </w:tcMar>
            <w:hideMark/>
          </w:tcPr>
          <w:p w:rsidR="00F00D62" w:rsidRPr="00DE643C" w:rsidRDefault="00F00D62" w:rsidP="007400CB">
            <w:pPr>
              <w:pStyle w:val="table10"/>
              <w:spacing w:before="120"/>
            </w:pPr>
            <w:proofErr w:type="gramStart"/>
            <w:r w:rsidRPr="00DE643C">
              <w:t>копии графиков работы (движения) передвижных пунктов приема (заготовки), включающих места сбора отходов (пункты остановки) и периоды (время) осуществления сбора отходов (работы) в этих местах</w:t>
            </w:r>
            <w:proofErr w:type="gramEnd"/>
          </w:p>
        </w:tc>
        <w:tc>
          <w:tcPr>
            <w:tcW w:w="623" w:type="pct"/>
            <w:tcBorders>
              <w:top w:val="nil"/>
              <w:left w:val="nil"/>
              <w:bottom w:val="nil"/>
              <w:right w:val="nil"/>
            </w:tcBorders>
            <w:tcMar>
              <w:top w:w="0" w:type="dxa"/>
              <w:left w:w="6" w:type="dxa"/>
              <w:bottom w:w="0" w:type="dxa"/>
              <w:right w:w="6" w:type="dxa"/>
            </w:tcMar>
            <w:hideMark/>
          </w:tcPr>
          <w:p w:rsidR="00F00D62" w:rsidRPr="00DE643C" w:rsidRDefault="00F00D62" w:rsidP="007400CB">
            <w:pPr>
              <w:pStyle w:val="table10"/>
              <w:spacing w:before="120"/>
            </w:pPr>
            <w:r w:rsidRPr="00DE643C">
              <w:t> </w:t>
            </w:r>
          </w:p>
        </w:tc>
        <w:tc>
          <w:tcPr>
            <w:tcW w:w="739" w:type="pct"/>
            <w:tcBorders>
              <w:top w:val="nil"/>
              <w:left w:val="nil"/>
              <w:bottom w:val="nil"/>
              <w:right w:val="nil"/>
            </w:tcBorders>
            <w:tcMar>
              <w:top w:w="0" w:type="dxa"/>
              <w:left w:w="6" w:type="dxa"/>
              <w:bottom w:w="0" w:type="dxa"/>
              <w:right w:w="6" w:type="dxa"/>
            </w:tcMar>
            <w:hideMark/>
          </w:tcPr>
          <w:p w:rsidR="00F00D62" w:rsidRPr="00DE643C" w:rsidRDefault="00F00D62" w:rsidP="007400CB">
            <w:pPr>
              <w:pStyle w:val="table10"/>
              <w:spacing w:before="120"/>
            </w:pPr>
            <w:r w:rsidRPr="00DE643C">
              <w:t> </w:t>
            </w:r>
          </w:p>
        </w:tc>
        <w:tc>
          <w:tcPr>
            <w:tcW w:w="680" w:type="pct"/>
            <w:tcBorders>
              <w:top w:val="nil"/>
              <w:left w:val="nil"/>
              <w:bottom w:val="nil"/>
              <w:right w:val="nil"/>
            </w:tcBorders>
            <w:tcMar>
              <w:top w:w="0" w:type="dxa"/>
              <w:left w:w="6" w:type="dxa"/>
              <w:bottom w:w="0" w:type="dxa"/>
              <w:right w:w="6" w:type="dxa"/>
            </w:tcMar>
            <w:hideMark/>
          </w:tcPr>
          <w:p w:rsidR="00F00D62" w:rsidRPr="00DE643C" w:rsidRDefault="00F00D62" w:rsidP="007400CB">
            <w:pPr>
              <w:pStyle w:val="table10"/>
              <w:spacing w:before="120"/>
            </w:pPr>
            <w:r w:rsidRPr="00DE643C">
              <w:t> </w:t>
            </w:r>
          </w:p>
        </w:tc>
      </w:tr>
      <w:tr w:rsidR="00F00D62" w:rsidRPr="00DE643C" w:rsidTr="007400CB">
        <w:trPr>
          <w:trHeight w:val="238"/>
        </w:trPr>
        <w:tc>
          <w:tcPr>
            <w:tcW w:w="1054" w:type="pct"/>
            <w:tcBorders>
              <w:top w:val="nil"/>
              <w:left w:val="nil"/>
              <w:bottom w:val="nil"/>
              <w:right w:val="nil"/>
            </w:tcBorders>
            <w:tcMar>
              <w:top w:w="0" w:type="dxa"/>
              <w:left w:w="6" w:type="dxa"/>
              <w:bottom w:w="0" w:type="dxa"/>
              <w:right w:w="6" w:type="dxa"/>
            </w:tcMar>
            <w:hideMark/>
          </w:tcPr>
          <w:p w:rsidR="00F00D62" w:rsidRPr="00DE643C" w:rsidRDefault="00F00D62" w:rsidP="007400CB">
            <w:pPr>
              <w:pStyle w:val="table10"/>
              <w:spacing w:before="120"/>
            </w:pPr>
            <w:r w:rsidRPr="00DE643C">
              <w:t> </w:t>
            </w:r>
          </w:p>
        </w:tc>
        <w:tc>
          <w:tcPr>
            <w:tcW w:w="1086" w:type="pct"/>
            <w:tcBorders>
              <w:top w:val="nil"/>
              <w:left w:val="nil"/>
              <w:bottom w:val="nil"/>
              <w:right w:val="nil"/>
            </w:tcBorders>
            <w:tcMar>
              <w:top w:w="0" w:type="dxa"/>
              <w:left w:w="6" w:type="dxa"/>
              <w:bottom w:w="0" w:type="dxa"/>
              <w:right w:w="6" w:type="dxa"/>
            </w:tcMar>
            <w:hideMark/>
          </w:tcPr>
          <w:p w:rsidR="00F00D62" w:rsidRPr="00DE643C" w:rsidRDefault="00F00D62" w:rsidP="007400CB">
            <w:pPr>
              <w:pStyle w:val="table10"/>
              <w:spacing w:before="120"/>
            </w:pPr>
            <w:r w:rsidRPr="00DE643C">
              <w:t> </w:t>
            </w:r>
          </w:p>
        </w:tc>
        <w:tc>
          <w:tcPr>
            <w:tcW w:w="818" w:type="pct"/>
            <w:tcBorders>
              <w:top w:val="nil"/>
              <w:left w:val="nil"/>
              <w:bottom w:val="nil"/>
              <w:right w:val="nil"/>
            </w:tcBorders>
            <w:tcMar>
              <w:top w:w="0" w:type="dxa"/>
              <w:left w:w="6" w:type="dxa"/>
              <w:bottom w:w="0" w:type="dxa"/>
              <w:right w:w="6" w:type="dxa"/>
            </w:tcMar>
            <w:hideMark/>
          </w:tcPr>
          <w:p w:rsidR="00F00D62" w:rsidRPr="00DE643C" w:rsidRDefault="00F00D62" w:rsidP="007400CB">
            <w:pPr>
              <w:pStyle w:val="table10"/>
              <w:spacing w:before="120"/>
            </w:pPr>
            <w:r w:rsidRPr="00DE643C">
              <w:t>копии документов, подтверждающих иные способы сбора отходов</w:t>
            </w:r>
          </w:p>
        </w:tc>
        <w:tc>
          <w:tcPr>
            <w:tcW w:w="623" w:type="pct"/>
            <w:tcBorders>
              <w:top w:val="nil"/>
              <w:left w:val="nil"/>
              <w:bottom w:val="nil"/>
              <w:right w:val="nil"/>
            </w:tcBorders>
            <w:tcMar>
              <w:top w:w="0" w:type="dxa"/>
              <w:left w:w="6" w:type="dxa"/>
              <w:bottom w:w="0" w:type="dxa"/>
              <w:right w:w="6" w:type="dxa"/>
            </w:tcMar>
            <w:hideMark/>
          </w:tcPr>
          <w:p w:rsidR="00F00D62" w:rsidRPr="00DE643C" w:rsidRDefault="00F00D62" w:rsidP="007400CB">
            <w:pPr>
              <w:pStyle w:val="table10"/>
              <w:spacing w:before="120"/>
            </w:pPr>
            <w:r w:rsidRPr="00DE643C">
              <w:t> </w:t>
            </w:r>
          </w:p>
        </w:tc>
        <w:tc>
          <w:tcPr>
            <w:tcW w:w="739" w:type="pct"/>
            <w:tcBorders>
              <w:top w:val="nil"/>
              <w:left w:val="nil"/>
              <w:bottom w:val="nil"/>
              <w:right w:val="nil"/>
            </w:tcBorders>
            <w:tcMar>
              <w:top w:w="0" w:type="dxa"/>
              <w:left w:w="6" w:type="dxa"/>
              <w:bottom w:w="0" w:type="dxa"/>
              <w:right w:w="6" w:type="dxa"/>
            </w:tcMar>
            <w:hideMark/>
          </w:tcPr>
          <w:p w:rsidR="00F00D62" w:rsidRPr="00DE643C" w:rsidRDefault="00F00D62" w:rsidP="007400CB">
            <w:pPr>
              <w:pStyle w:val="table10"/>
              <w:spacing w:before="120"/>
            </w:pPr>
            <w:r w:rsidRPr="00DE643C">
              <w:t> </w:t>
            </w:r>
          </w:p>
        </w:tc>
        <w:tc>
          <w:tcPr>
            <w:tcW w:w="680" w:type="pct"/>
            <w:tcBorders>
              <w:top w:val="nil"/>
              <w:left w:val="nil"/>
              <w:bottom w:val="nil"/>
              <w:right w:val="nil"/>
            </w:tcBorders>
            <w:tcMar>
              <w:top w:w="0" w:type="dxa"/>
              <w:left w:w="6" w:type="dxa"/>
              <w:bottom w:w="0" w:type="dxa"/>
              <w:right w:w="6" w:type="dxa"/>
            </w:tcMar>
            <w:hideMark/>
          </w:tcPr>
          <w:p w:rsidR="00F00D62" w:rsidRPr="00DE643C" w:rsidRDefault="00F00D62" w:rsidP="007400CB">
            <w:pPr>
              <w:pStyle w:val="table10"/>
              <w:spacing w:before="120"/>
            </w:pPr>
            <w:r w:rsidRPr="00DE643C">
              <w:t> </w:t>
            </w:r>
          </w:p>
        </w:tc>
      </w:tr>
    </w:tbl>
    <w:p w:rsidR="00F00D62" w:rsidRPr="00DE643C" w:rsidRDefault="00F00D62" w:rsidP="00F00D62">
      <w:pPr>
        <w:pStyle w:val="newncpi"/>
      </w:pPr>
      <w:r w:rsidRPr="00DE643C">
        <w:t> </w:t>
      </w:r>
    </w:p>
    <w:p w:rsidR="00F00D62" w:rsidRPr="00DE643C" w:rsidRDefault="00F00D62" w:rsidP="00F00D62">
      <w:pPr>
        <w:sectPr w:rsidR="00F00D62" w:rsidRPr="00DE643C">
          <w:pgSz w:w="16838" w:h="11906" w:orient="landscape"/>
          <w:pgMar w:top="567" w:right="289" w:bottom="567" w:left="340" w:header="709" w:footer="709" w:gutter="0"/>
          <w:cols w:space="720"/>
        </w:sectPr>
      </w:pPr>
    </w:p>
    <w:p w:rsidR="00F00D62" w:rsidRPr="00DE643C" w:rsidRDefault="00F00D62" w:rsidP="00F00D62">
      <w:pPr>
        <w:pStyle w:val="newncpi"/>
      </w:pPr>
      <w:r w:rsidRPr="00DE643C">
        <w:lastRenderedPageBreak/>
        <w:t> </w:t>
      </w:r>
    </w:p>
    <w:p w:rsidR="00F00D62" w:rsidRPr="00DE643C" w:rsidRDefault="00F00D62" w:rsidP="00F00D62">
      <w:pPr>
        <w:pStyle w:val="newncpi"/>
      </w:pPr>
      <w:r w:rsidRPr="00DE643C">
        <w:t>в пункте 6.66:</w:t>
      </w:r>
    </w:p>
    <w:p w:rsidR="00F00D62" w:rsidRPr="00DE643C" w:rsidRDefault="00F00D62" w:rsidP="00F00D62">
      <w:pPr>
        <w:pStyle w:val="newncpi"/>
      </w:pPr>
      <w:r w:rsidRPr="00DE643C">
        <w:t>графу «Наименование административной процедуры» после цифр «7010 90 530 0» дополнить словом «единой»;</w:t>
      </w:r>
    </w:p>
    <w:p w:rsidR="00F00D62" w:rsidRPr="00DE643C" w:rsidRDefault="00F00D62" w:rsidP="00F00D62">
      <w:pPr>
        <w:pStyle w:val="newncpi"/>
      </w:pPr>
      <w:r w:rsidRPr="00DE643C">
        <w:t>в графе «Орган, уполномоченный на осуществление административной процедуры» слово «Минэкономики» заменить словом «</w:t>
      </w:r>
      <w:proofErr w:type="spellStart"/>
      <w:r w:rsidRPr="00DE643C">
        <w:t>Минстройархитектуры</w:t>
      </w:r>
      <w:proofErr w:type="spellEnd"/>
      <w:r w:rsidRPr="00DE643C">
        <w:t>»;</w:t>
      </w:r>
    </w:p>
    <w:p w:rsidR="00F00D62" w:rsidRPr="00DE643C" w:rsidRDefault="00F00D62" w:rsidP="00F00D62">
      <w:pPr>
        <w:pStyle w:val="underpoint"/>
      </w:pPr>
      <w:bookmarkStart w:id="2" w:name="a16"/>
      <w:bookmarkEnd w:id="2"/>
      <w:proofErr w:type="gramStart"/>
      <w:r w:rsidRPr="00DE643C">
        <w:t>3.2. в постановлении Совета Министров Республики Беларусь от 28 октября 2016 г. № 883 «Об утверждении Положения о порядке выдачи заключения о невозможности производства либо производстве в недостаточном количестве на территории Республики Беларусь бутылок для напитков и пищевых продуктов из бесцветного и цветного стекла номинальной вместимостью более 0,33 литра, но менее 1 литра, классифицируемых кодами 7010 90 430 0 и 7010</w:t>
      </w:r>
      <w:proofErr w:type="gramEnd"/>
      <w:r w:rsidRPr="00DE643C">
        <w:t> 90 530 0 Товарной номенклатуры внешнеэкономической деятельности Евразийского экономического союза, и внесении дополнения в постановление Совета Министров Республики Беларусь от 17 февраля 2012 г. № 156»:</w:t>
      </w:r>
    </w:p>
    <w:p w:rsidR="00F00D62" w:rsidRPr="00DE643C" w:rsidRDefault="00F00D62" w:rsidP="00F00D62">
      <w:pPr>
        <w:pStyle w:val="newncpi"/>
      </w:pPr>
      <w:r w:rsidRPr="00DE643C">
        <w:t>название изложить в следующей редакции:</w:t>
      </w:r>
    </w:p>
    <w:p w:rsidR="00F00D62" w:rsidRPr="00DE643C" w:rsidRDefault="00F00D62" w:rsidP="00F00D62">
      <w:pPr>
        <w:pStyle w:val="newncpi"/>
      </w:pPr>
      <w:r w:rsidRPr="00DE643C">
        <w:t>«О выдаче заключений»;</w:t>
      </w:r>
    </w:p>
    <w:p w:rsidR="00F00D62" w:rsidRPr="00DE643C" w:rsidRDefault="00F00D62" w:rsidP="00F00D62">
      <w:pPr>
        <w:pStyle w:val="newncpi"/>
      </w:pPr>
      <w:r w:rsidRPr="00DE643C">
        <w:t>преамбулу изложить в следующей редакции:</w:t>
      </w:r>
    </w:p>
    <w:p w:rsidR="00F00D62" w:rsidRPr="00DE643C" w:rsidRDefault="00F00D62" w:rsidP="00F00D62">
      <w:pPr>
        <w:pStyle w:val="newncpi"/>
      </w:pPr>
      <w:r w:rsidRPr="00DE643C">
        <w:t>«Во исполнение пункта 5 Указа Президента Республики Беларусь от 17 января 2020 г. № 16 «О совершенствовании порядка обращения с отходами товаров и упаковки» Совет Министров Республики Беларусь ПОСТАНОВЛЯЕТ</w:t>
      </w:r>
      <w:proofErr w:type="gramStart"/>
      <w:r w:rsidRPr="00DE643C">
        <w:t>:»</w:t>
      </w:r>
      <w:proofErr w:type="gramEnd"/>
      <w:r w:rsidRPr="00DE643C">
        <w:t>;</w:t>
      </w:r>
    </w:p>
    <w:p w:rsidR="00F00D62" w:rsidRPr="00DE643C" w:rsidRDefault="00F00D62" w:rsidP="00F00D62">
      <w:pPr>
        <w:pStyle w:val="newncpi"/>
      </w:pPr>
      <w:r w:rsidRPr="00DE643C">
        <w:t>пункт 1 изложить в следующей редакции:</w:t>
      </w:r>
    </w:p>
    <w:p w:rsidR="00F00D62" w:rsidRPr="00DE643C" w:rsidRDefault="00F00D62" w:rsidP="00F00D62">
      <w:pPr>
        <w:pStyle w:val="point"/>
      </w:pPr>
      <w:r w:rsidRPr="00DE643C">
        <w:rPr>
          <w:rStyle w:val="rednoun"/>
        </w:rPr>
        <w:t>«1.</w:t>
      </w:r>
      <w:r w:rsidRPr="00DE643C">
        <w:t> Утвердить Положение о порядке выдачи заключения о невозможности производства либо производстве в недостаточном количестве на территории Республики Беларусь бутылок (прилагается)</w:t>
      </w:r>
      <w:proofErr w:type="gramStart"/>
      <w:r w:rsidRPr="00DE643C">
        <w:t>.»</w:t>
      </w:r>
      <w:proofErr w:type="gramEnd"/>
      <w:r w:rsidRPr="00DE643C">
        <w:t>;</w:t>
      </w:r>
    </w:p>
    <w:p w:rsidR="00F00D62" w:rsidRPr="00DE643C" w:rsidRDefault="00F00D62" w:rsidP="00F00D62">
      <w:pPr>
        <w:pStyle w:val="newncpi"/>
      </w:pPr>
      <w:proofErr w:type="gramStart"/>
      <w:r w:rsidRPr="00DE643C">
        <w:t>Положение о порядке выдачи заключения о невозможности производства либо производстве в недостаточном количестве на территории Республики Беларусь бутылок для напитков и пищевых продуктов из бесцветного и цветного стекла номинальной вместимостью более 0,33 литра, но менее 1 литра, классифицируемых кодами 7010 90 430 0 и 7010 90 530 0 Товарной номенклатуры внешнеэкономической деятельности Евразийского экономического союза, утвержденное этим постановлением, изложить в</w:t>
      </w:r>
      <w:proofErr w:type="gramEnd"/>
      <w:r w:rsidRPr="00DE643C">
        <w:t> новой редакции (прилагается).</w:t>
      </w:r>
    </w:p>
    <w:p w:rsidR="00F00D62" w:rsidRPr="00DE643C" w:rsidRDefault="00F00D62" w:rsidP="00F00D62">
      <w:pPr>
        <w:pStyle w:val="point"/>
      </w:pPr>
      <w:bookmarkStart w:id="3" w:name="a145"/>
      <w:bookmarkEnd w:id="3"/>
      <w:r w:rsidRPr="00DE643C">
        <w:t>4. Выполнение производителями и поставщиками обязанности по обеспечению сбора, обезвреживания и (или) использования отходов товаров и упаковки и представление информац</w:t>
      </w:r>
      <w:proofErr w:type="gramStart"/>
      <w:r w:rsidRPr="00DE643C">
        <w:t>ии о ее</w:t>
      </w:r>
      <w:proofErr w:type="gramEnd"/>
      <w:r w:rsidRPr="00DE643C">
        <w:t xml:space="preserve"> выполнении в порядке, установленном настоящим постановлением, осуществляется за отчетные периоды, начиная с третьего квартала 2020 г.</w:t>
      </w:r>
    </w:p>
    <w:p w:rsidR="00F00D62" w:rsidRPr="00DE643C" w:rsidRDefault="00F00D62" w:rsidP="00F00D62">
      <w:pPr>
        <w:pStyle w:val="newncpi"/>
      </w:pPr>
      <w:r w:rsidRPr="00DE643C">
        <w:t>Выполнение производителями и поставщиками обязанности по обеспечению сбора, обезвреживания и (или) использования отходов товаров и отходов упаковки и представление информац</w:t>
      </w:r>
      <w:proofErr w:type="gramStart"/>
      <w:r w:rsidRPr="00DE643C">
        <w:t>ии о ее</w:t>
      </w:r>
      <w:proofErr w:type="gramEnd"/>
      <w:r w:rsidRPr="00DE643C">
        <w:t xml:space="preserve"> выполнении за прошлые отчетные периоды осуществляются в соответствии с законодательством, действовавшим в соответствующем отчетном периоде.</w:t>
      </w:r>
    </w:p>
    <w:p w:rsidR="00F00D62" w:rsidRPr="00DE643C" w:rsidRDefault="00F00D62" w:rsidP="00F00D62">
      <w:pPr>
        <w:pStyle w:val="point"/>
      </w:pPr>
      <w:r w:rsidRPr="00DE643C">
        <w:t>5. </w:t>
      </w:r>
      <w:proofErr w:type="gramStart"/>
      <w:r w:rsidRPr="00DE643C">
        <w:t xml:space="preserve">Договоры об организации сбора, обезвреживания и (или) использования отходов товаров и отходов упаковки (далее – договоры), заключенные до вступления в силу настоящего постановления, подлежат приведению в соответствие с ним до 1 октября </w:t>
      </w:r>
      <w:r w:rsidRPr="00DE643C">
        <w:lastRenderedPageBreak/>
        <w:t>2020 г. До приведения в соответствие с настоящим постановлением договоры действуют в части, не противоречащей Указу Президента Республики Беларусь от 17 января 2020 г. № 16.</w:t>
      </w:r>
      <w:proofErr w:type="gramEnd"/>
    </w:p>
    <w:p w:rsidR="00F00D62" w:rsidRPr="00DE643C" w:rsidRDefault="00F00D62" w:rsidP="00F00D62">
      <w:pPr>
        <w:pStyle w:val="point"/>
      </w:pPr>
      <w:r w:rsidRPr="00DE643C">
        <w:t>6. </w:t>
      </w:r>
      <w:proofErr w:type="gramStart"/>
      <w:r w:rsidRPr="00DE643C">
        <w:t>Действие Положения о порядке закупок товаров (работ, услуг) за счет денежных средств, поступающих на специальный счет государственного учреждения «Оператор вторичных материальных ресурсов», утвержденного настоящим постановлением, не распространяется на закупки товаров (работ, услуг), если процедуры таких закупок начаты (принято решение об их проведении) или договоры на поставку товаров (выполнение работ, оказание услуг) заключены до 1 июля 2020 г.</w:t>
      </w:r>
      <w:proofErr w:type="gramEnd"/>
    </w:p>
    <w:p w:rsidR="00F00D62" w:rsidRPr="00DE643C" w:rsidRDefault="00F00D62" w:rsidP="00F00D62">
      <w:pPr>
        <w:pStyle w:val="point"/>
      </w:pPr>
      <w:r w:rsidRPr="00DE643C">
        <w:t>7. Признать утратившими силу постановления Совета Министров Республики Беларусь согласно приложению 5.</w:t>
      </w:r>
    </w:p>
    <w:p w:rsidR="00F00D62" w:rsidRPr="00DE643C" w:rsidRDefault="00F00D62" w:rsidP="00F00D62">
      <w:pPr>
        <w:pStyle w:val="point"/>
      </w:pPr>
      <w:r w:rsidRPr="00DE643C">
        <w:t>8. Министерству жилищно-коммунального хозяйства разъяснять вопросы применения настоящего постановления.</w:t>
      </w:r>
    </w:p>
    <w:p w:rsidR="00F00D62" w:rsidRPr="00DE643C" w:rsidRDefault="00F00D62" w:rsidP="00F00D62">
      <w:pPr>
        <w:pStyle w:val="point"/>
      </w:pPr>
      <w:bookmarkStart w:id="4" w:name="a30"/>
      <w:bookmarkEnd w:id="4"/>
      <w:r w:rsidRPr="00DE643C">
        <w:t>9. Настоящее постановление вступает в силу в следующем порядке:</w:t>
      </w:r>
    </w:p>
    <w:p w:rsidR="00F00D62" w:rsidRPr="00DE643C" w:rsidRDefault="00F00D62" w:rsidP="00F00D62">
      <w:pPr>
        <w:pStyle w:val="newncpi"/>
      </w:pPr>
      <w:r w:rsidRPr="00DE643C">
        <w:t>пункты 4, 9, 10, 14, 21, 22, 26–28, 30, 37, 43, 49, 51 и 54 приложения 4 – с 1 января 2021 г.;</w:t>
      </w:r>
    </w:p>
    <w:p w:rsidR="00F00D62" w:rsidRPr="00DE643C" w:rsidRDefault="00F00D62" w:rsidP="00F00D62">
      <w:pPr>
        <w:pStyle w:val="newncpi"/>
      </w:pPr>
      <w:r w:rsidRPr="00DE643C">
        <w:t>иные положения настоящего постановления – с 1 июля 2020 г.</w:t>
      </w:r>
    </w:p>
    <w:p w:rsidR="00F00D62" w:rsidRPr="00DE643C" w:rsidRDefault="00F00D62" w:rsidP="00F00D62">
      <w:pPr>
        <w:pStyle w:val="newncpi"/>
      </w:pPr>
      <w:r w:rsidRPr="00DE643C">
        <w:t> </w:t>
      </w:r>
    </w:p>
    <w:tbl>
      <w:tblPr>
        <w:tblW w:w="5000" w:type="pct"/>
        <w:tblCellMar>
          <w:left w:w="0" w:type="dxa"/>
          <w:right w:w="0" w:type="dxa"/>
        </w:tblCellMar>
        <w:tblLook w:val="04A0" w:firstRow="1" w:lastRow="0" w:firstColumn="1" w:lastColumn="0" w:noHBand="0" w:noVBand="1"/>
      </w:tblPr>
      <w:tblGrid>
        <w:gridCol w:w="4683"/>
        <w:gridCol w:w="4684"/>
      </w:tblGrid>
      <w:tr w:rsidR="00F00D62" w:rsidRPr="00DE643C" w:rsidTr="007400CB">
        <w:tc>
          <w:tcPr>
            <w:tcW w:w="2500" w:type="pct"/>
            <w:tcBorders>
              <w:top w:val="nil"/>
              <w:left w:val="nil"/>
              <w:bottom w:val="nil"/>
              <w:right w:val="nil"/>
            </w:tcBorders>
            <w:tcMar>
              <w:top w:w="0" w:type="dxa"/>
              <w:left w:w="6" w:type="dxa"/>
              <w:bottom w:w="0" w:type="dxa"/>
              <w:right w:w="6" w:type="dxa"/>
            </w:tcMar>
            <w:vAlign w:val="bottom"/>
            <w:hideMark/>
          </w:tcPr>
          <w:p w:rsidR="00F00D62" w:rsidRPr="00DE643C" w:rsidRDefault="00F00D62" w:rsidP="007400CB">
            <w:pPr>
              <w:pStyle w:val="newncpi0"/>
              <w:jc w:val="left"/>
            </w:pPr>
            <w:r w:rsidRPr="00DE643C">
              <w:rPr>
                <w:rStyle w:val="post"/>
              </w:rPr>
              <w:t>Премьер-министр Республики Беларусь</w:t>
            </w:r>
          </w:p>
        </w:tc>
        <w:tc>
          <w:tcPr>
            <w:tcW w:w="2500" w:type="pct"/>
            <w:tcBorders>
              <w:top w:val="nil"/>
              <w:left w:val="nil"/>
              <w:bottom w:val="nil"/>
              <w:right w:val="nil"/>
            </w:tcBorders>
            <w:tcMar>
              <w:top w:w="0" w:type="dxa"/>
              <w:left w:w="6" w:type="dxa"/>
              <w:bottom w:w="0" w:type="dxa"/>
              <w:right w:w="6" w:type="dxa"/>
            </w:tcMar>
            <w:vAlign w:val="bottom"/>
            <w:hideMark/>
          </w:tcPr>
          <w:p w:rsidR="00F00D62" w:rsidRPr="00DE643C" w:rsidRDefault="00F00D62" w:rsidP="007400CB">
            <w:pPr>
              <w:pStyle w:val="newncpi0"/>
              <w:jc w:val="right"/>
            </w:pPr>
            <w:proofErr w:type="spellStart"/>
            <w:r w:rsidRPr="00DE643C">
              <w:rPr>
                <w:rStyle w:val="pers"/>
              </w:rPr>
              <w:t>Р.Головченко</w:t>
            </w:r>
            <w:proofErr w:type="spellEnd"/>
          </w:p>
        </w:tc>
      </w:tr>
    </w:tbl>
    <w:p w:rsidR="00F00D62" w:rsidRPr="00DE643C" w:rsidRDefault="00F00D62" w:rsidP="00F00D62">
      <w:pPr>
        <w:pStyle w:val="newncpi"/>
      </w:pPr>
      <w:r w:rsidRPr="00DE643C">
        <w:t> </w:t>
      </w:r>
    </w:p>
    <w:p w:rsidR="00F00D62" w:rsidRDefault="00F00D62" w:rsidP="00F00D62">
      <w:pPr>
        <w:pStyle w:val="newncpi"/>
      </w:pPr>
    </w:p>
    <w:p w:rsidR="00F00D62" w:rsidRDefault="00F00D62" w:rsidP="00F00D62">
      <w:pPr>
        <w:pStyle w:val="newncpi"/>
      </w:pPr>
    </w:p>
    <w:p w:rsidR="00F00D62" w:rsidRDefault="00F00D62" w:rsidP="00F00D62">
      <w:pPr>
        <w:pStyle w:val="newncpi"/>
      </w:pPr>
    </w:p>
    <w:p w:rsidR="00F00D62" w:rsidRDefault="00F00D62" w:rsidP="00F00D62">
      <w:pPr>
        <w:pStyle w:val="newncpi"/>
      </w:pPr>
    </w:p>
    <w:p w:rsidR="00F00D62" w:rsidRDefault="00F00D62" w:rsidP="00F00D62">
      <w:pPr>
        <w:pStyle w:val="newncpi"/>
      </w:pPr>
    </w:p>
    <w:p w:rsidR="00F00D62" w:rsidRDefault="00F00D62" w:rsidP="00F00D62">
      <w:pPr>
        <w:pStyle w:val="newncpi"/>
      </w:pPr>
    </w:p>
    <w:p w:rsidR="00F00D62" w:rsidRDefault="00F00D62" w:rsidP="00F00D62">
      <w:pPr>
        <w:pStyle w:val="newncpi"/>
      </w:pPr>
    </w:p>
    <w:p w:rsidR="00F00D62" w:rsidRDefault="00F00D62" w:rsidP="00F00D62">
      <w:pPr>
        <w:pStyle w:val="newncpi"/>
      </w:pPr>
    </w:p>
    <w:p w:rsidR="00F00D62" w:rsidRDefault="00F00D62" w:rsidP="00F00D62">
      <w:pPr>
        <w:pStyle w:val="newncpi"/>
      </w:pPr>
    </w:p>
    <w:p w:rsidR="00F00D62" w:rsidRDefault="00F00D62" w:rsidP="00F00D62">
      <w:pPr>
        <w:pStyle w:val="newncpi"/>
      </w:pPr>
    </w:p>
    <w:p w:rsidR="00F00D62" w:rsidRDefault="00F00D62" w:rsidP="00F00D62">
      <w:pPr>
        <w:pStyle w:val="newncpi"/>
      </w:pPr>
    </w:p>
    <w:p w:rsidR="00F00D62" w:rsidRDefault="00F00D62" w:rsidP="00F00D62">
      <w:pPr>
        <w:pStyle w:val="newncpi"/>
      </w:pPr>
    </w:p>
    <w:p w:rsidR="00F00D62" w:rsidRDefault="00F00D62" w:rsidP="00F00D62">
      <w:pPr>
        <w:pStyle w:val="newncpi"/>
      </w:pPr>
    </w:p>
    <w:p w:rsidR="00F00D62" w:rsidRDefault="00F00D62" w:rsidP="00F00D62">
      <w:pPr>
        <w:pStyle w:val="newncpi"/>
      </w:pPr>
    </w:p>
    <w:p w:rsidR="00F00D62" w:rsidRDefault="00F00D62" w:rsidP="00F00D62">
      <w:pPr>
        <w:pStyle w:val="newncpi"/>
      </w:pPr>
    </w:p>
    <w:p w:rsidR="00F00D62" w:rsidRDefault="00F00D62" w:rsidP="00F00D62">
      <w:pPr>
        <w:pStyle w:val="newncpi"/>
      </w:pPr>
    </w:p>
    <w:p w:rsidR="00F00D62" w:rsidRDefault="00F00D62" w:rsidP="00F00D62">
      <w:pPr>
        <w:pStyle w:val="newncpi"/>
      </w:pPr>
    </w:p>
    <w:p w:rsidR="00F00D62" w:rsidRDefault="00F00D62" w:rsidP="00F00D62">
      <w:pPr>
        <w:pStyle w:val="newncpi"/>
      </w:pPr>
    </w:p>
    <w:p w:rsidR="00F00D62" w:rsidRPr="00DE643C" w:rsidRDefault="00F00D62" w:rsidP="00F00D62">
      <w:pPr>
        <w:pStyle w:val="newncpi"/>
      </w:pPr>
    </w:p>
    <w:tbl>
      <w:tblPr>
        <w:tblW w:w="5000" w:type="pct"/>
        <w:tblCellMar>
          <w:left w:w="0" w:type="dxa"/>
          <w:right w:w="0" w:type="dxa"/>
        </w:tblCellMar>
        <w:tblLook w:val="04A0" w:firstRow="1" w:lastRow="0" w:firstColumn="1" w:lastColumn="0" w:noHBand="0" w:noVBand="1"/>
      </w:tblPr>
      <w:tblGrid>
        <w:gridCol w:w="7025"/>
        <w:gridCol w:w="2342"/>
      </w:tblGrid>
      <w:tr w:rsidR="00F00D62" w:rsidRPr="00DE643C" w:rsidTr="007400CB">
        <w:tc>
          <w:tcPr>
            <w:tcW w:w="3750" w:type="pct"/>
            <w:tcBorders>
              <w:top w:val="nil"/>
              <w:left w:val="nil"/>
              <w:bottom w:val="nil"/>
              <w:right w:val="nil"/>
            </w:tcBorders>
            <w:tcMar>
              <w:top w:w="0" w:type="dxa"/>
              <w:left w:w="6" w:type="dxa"/>
              <w:bottom w:w="0" w:type="dxa"/>
              <w:right w:w="6" w:type="dxa"/>
            </w:tcMar>
            <w:hideMark/>
          </w:tcPr>
          <w:p w:rsidR="00F00D62" w:rsidRPr="00DE643C" w:rsidRDefault="00F00D62" w:rsidP="007400CB">
            <w:pPr>
              <w:pStyle w:val="newncpi"/>
            </w:pPr>
            <w:r w:rsidRPr="00DE643C">
              <w:t> </w:t>
            </w:r>
          </w:p>
        </w:tc>
        <w:tc>
          <w:tcPr>
            <w:tcW w:w="1250" w:type="pct"/>
            <w:tcBorders>
              <w:top w:val="nil"/>
              <w:left w:val="nil"/>
              <w:bottom w:val="nil"/>
              <w:right w:val="nil"/>
            </w:tcBorders>
            <w:tcMar>
              <w:top w:w="0" w:type="dxa"/>
              <w:left w:w="6" w:type="dxa"/>
              <w:bottom w:w="0" w:type="dxa"/>
              <w:right w:w="6" w:type="dxa"/>
            </w:tcMar>
            <w:hideMark/>
          </w:tcPr>
          <w:p w:rsidR="00F00D62" w:rsidRPr="00DE643C" w:rsidRDefault="00F00D62" w:rsidP="007400CB">
            <w:pPr>
              <w:pStyle w:val="capu1"/>
            </w:pPr>
            <w:r w:rsidRPr="00DE643C">
              <w:t>УТВЕРЖДЕНО</w:t>
            </w:r>
          </w:p>
          <w:p w:rsidR="00F00D62" w:rsidRPr="00DE643C" w:rsidRDefault="00F00D62" w:rsidP="007400CB">
            <w:pPr>
              <w:pStyle w:val="cap1"/>
            </w:pPr>
            <w:r w:rsidRPr="00DE643C">
              <w:t xml:space="preserve">Постановление </w:t>
            </w:r>
            <w:r w:rsidRPr="00DE643C">
              <w:br/>
              <w:t xml:space="preserve">Совета Министров </w:t>
            </w:r>
            <w:r w:rsidRPr="00DE643C">
              <w:br/>
              <w:t>Республики Беларусь</w:t>
            </w:r>
            <w:r w:rsidRPr="00DE643C">
              <w:br/>
              <w:t>30.06.2020 № 388</w:t>
            </w:r>
          </w:p>
        </w:tc>
      </w:tr>
    </w:tbl>
    <w:p w:rsidR="00F00D62" w:rsidRPr="00DE643C" w:rsidRDefault="00F00D62" w:rsidP="00F00D62">
      <w:pPr>
        <w:pStyle w:val="titleu"/>
      </w:pPr>
      <w:bookmarkStart w:id="5" w:name="a9"/>
      <w:bookmarkEnd w:id="5"/>
      <w:r w:rsidRPr="0015256F">
        <w:rPr>
          <w:highlight w:val="green"/>
        </w:rPr>
        <w:t>ПОЛОЖЕНИЕ</w:t>
      </w:r>
      <w:r w:rsidRPr="0015256F">
        <w:rPr>
          <w:highlight w:val="green"/>
        </w:rPr>
        <w:br/>
        <w:t>о порядке обеспечения организациями, осуществляющими розничную торговлю, сбора от физических лиц товаров, утративших потребительские свойства, и отходов упаковки в местах их реализации (ремонта, технического обслуживания)</w:t>
      </w:r>
    </w:p>
    <w:p w:rsidR="00F00D62" w:rsidRPr="00DE643C" w:rsidRDefault="00F00D62" w:rsidP="00F00D62">
      <w:pPr>
        <w:pStyle w:val="point"/>
      </w:pPr>
      <w:r w:rsidRPr="00DE643C">
        <w:t>1. Настоящим Положением определяется порядок обеспечения организациями, осуществляющими розничную торговлю (далее – организации торговли), сбора от физических лиц товаров, утративших потребительские свойства, и отходов упаковки согласно приложению (далее, если не предусмотрено иное, – отходы товаров и упаковки) в местах их реализации (ремонта, технического обслуживания).</w:t>
      </w:r>
    </w:p>
    <w:p w:rsidR="00F00D62" w:rsidRPr="00DE643C" w:rsidRDefault="00F00D62" w:rsidP="00F00D62">
      <w:pPr>
        <w:pStyle w:val="point"/>
      </w:pPr>
      <w:r w:rsidRPr="00DE643C">
        <w:t>2. </w:t>
      </w:r>
      <w:proofErr w:type="gramStart"/>
      <w:r w:rsidRPr="00DE643C">
        <w:t>Сбор отходов товаров и упаковки обеспечивается организациями торговли в местах их реализации (ремонта, технического обслуживания) на территории торговых объектов, в которых осуществляется розничная торговля (далее – торговый объект), или прилегающей к ним территории с учетом санитарно-эпидемиологических, противопожарных, природоохранных и иных требований законодательства, в том числе обязательных для соблюдения требований технических нормативных правовых актов.</w:t>
      </w:r>
      <w:proofErr w:type="gramEnd"/>
    </w:p>
    <w:p w:rsidR="00F00D62" w:rsidRPr="00DE643C" w:rsidRDefault="00F00D62" w:rsidP="00F00D62">
      <w:pPr>
        <w:pStyle w:val="point"/>
      </w:pPr>
      <w:r w:rsidRPr="00DE643C">
        <w:t>3. Сбор отходов товаров и упаковки может осуществляться организациями торговли самостоятельно или с привлечением юридических лиц и (или) индивидуальных предпринимателей.</w:t>
      </w:r>
    </w:p>
    <w:p w:rsidR="00F00D62" w:rsidRPr="00DE643C" w:rsidRDefault="00F00D62" w:rsidP="00F00D62">
      <w:pPr>
        <w:pStyle w:val="point"/>
      </w:pPr>
      <w:r w:rsidRPr="00DE643C">
        <w:t>4. Сбор электрического и электронного оборудования (далее – ЭЭО), утратившего потребительские свойства, осуществляется:</w:t>
      </w:r>
    </w:p>
    <w:p w:rsidR="00F00D62" w:rsidRPr="00DE643C" w:rsidRDefault="00F00D62" w:rsidP="00F00D62">
      <w:pPr>
        <w:pStyle w:val="newncpi"/>
      </w:pPr>
      <w:r w:rsidRPr="00DE643C">
        <w:t>в специализированных, узкоспециализированных непродовольственных магазинах, неспециализированных магазинах с комбинированным ассортиментом непродовольственных товаров с торговой площадью 500 кв. метров и более;</w:t>
      </w:r>
    </w:p>
    <w:p w:rsidR="00F00D62" w:rsidRPr="00DE643C" w:rsidRDefault="00F00D62" w:rsidP="00F00D62">
      <w:pPr>
        <w:pStyle w:val="newncpi"/>
      </w:pPr>
      <w:r w:rsidRPr="00DE643C">
        <w:t>в магазинах с универсальным ассортиментом непродовольственных товаров с торговой площадью 1000 кв. метров и более.</w:t>
      </w:r>
    </w:p>
    <w:p w:rsidR="00F00D62" w:rsidRPr="00DE643C" w:rsidRDefault="00F00D62" w:rsidP="00F00D62">
      <w:pPr>
        <w:pStyle w:val="point"/>
      </w:pPr>
      <w:r w:rsidRPr="00DE643C">
        <w:t>5. Сбор ламп газоразрядных ртутьсодержащих, утративших потребительские свойства, осуществляется в непродовольственных магазинах с торговой площадью 400 кв. метров и более.</w:t>
      </w:r>
    </w:p>
    <w:p w:rsidR="00F00D62" w:rsidRPr="00DE643C" w:rsidRDefault="00F00D62" w:rsidP="00F00D62">
      <w:pPr>
        <w:pStyle w:val="point"/>
      </w:pPr>
      <w:r w:rsidRPr="00DE643C">
        <w:t>6. Сбор элементов питания (батареек), утративших потребительские свойства, осуществляется в торговых объектах с торговой площадью 100 кв. метров и более.</w:t>
      </w:r>
    </w:p>
    <w:p w:rsidR="00F00D62" w:rsidRPr="00DE643C" w:rsidRDefault="00F00D62" w:rsidP="00F00D62">
      <w:pPr>
        <w:pStyle w:val="point"/>
      </w:pPr>
      <w:r w:rsidRPr="00DE643C">
        <w:t>7. Сбор отходов упаковки осуществляется в отдельно стоящих продовольственных и непродовольственных магазинах с торговой площадью 1000 кв. метров и более.</w:t>
      </w:r>
    </w:p>
    <w:p w:rsidR="00F00D62" w:rsidRPr="00DE643C" w:rsidRDefault="00F00D62" w:rsidP="00F00D62">
      <w:pPr>
        <w:pStyle w:val="point"/>
      </w:pPr>
      <w:r w:rsidRPr="00DE643C">
        <w:t>8. </w:t>
      </w:r>
      <w:proofErr w:type="gramStart"/>
      <w:r w:rsidRPr="00DE643C">
        <w:t>Сбор крупногабаритного и среднегабаритного ЭЭО, утратившего потребительские свойства, может осуществляться следующими способами:</w:t>
      </w:r>
      <w:proofErr w:type="gramEnd"/>
    </w:p>
    <w:p w:rsidR="00F00D62" w:rsidRPr="00DE643C" w:rsidRDefault="00F00D62" w:rsidP="00F00D62">
      <w:pPr>
        <w:pStyle w:val="newncpi"/>
      </w:pPr>
      <w:r w:rsidRPr="00DE643C">
        <w:lastRenderedPageBreak/>
        <w:t>путем отведения специальных мест или установки специальных контейнеров на территории торговых объектов или прилегающей к ним территории для самостоятельного размещения физическими лицами отходов товаров;</w:t>
      </w:r>
    </w:p>
    <w:p w:rsidR="00F00D62" w:rsidRPr="00DE643C" w:rsidRDefault="00F00D62" w:rsidP="00F00D62">
      <w:pPr>
        <w:pStyle w:val="newncpi"/>
      </w:pPr>
      <w:r w:rsidRPr="00DE643C">
        <w:t>путем обеспечения возможности передать отходы товаров уполномоченному работнику торгового объекта.</w:t>
      </w:r>
    </w:p>
    <w:p w:rsidR="00F00D62" w:rsidRPr="00DE643C" w:rsidRDefault="00F00D62" w:rsidP="00F00D62">
      <w:pPr>
        <w:pStyle w:val="point"/>
      </w:pPr>
      <w:r w:rsidRPr="00DE643C">
        <w:t>9. Сбор мелкогабаритного ЭЭО, ламп газоразрядных ртутьсодержащих, элементов питания (батареек), утративших потребительские свойства, может осуществляться следующими способами:</w:t>
      </w:r>
    </w:p>
    <w:p w:rsidR="00F00D62" w:rsidRPr="00DE643C" w:rsidRDefault="00F00D62" w:rsidP="00F00D62">
      <w:pPr>
        <w:pStyle w:val="newncpi"/>
      </w:pPr>
      <w:r w:rsidRPr="00DE643C">
        <w:t>путем установки специальных контейнеров, исключающих возможность механического повреждения ламп газоразрядных ртутьсодержащих, на территории торговых объектов для самостоятельного размещения физическими лицами отходов товаров;</w:t>
      </w:r>
    </w:p>
    <w:p w:rsidR="00F00D62" w:rsidRPr="00DE643C" w:rsidRDefault="00F00D62" w:rsidP="00F00D62">
      <w:pPr>
        <w:pStyle w:val="newncpi"/>
      </w:pPr>
      <w:r w:rsidRPr="00DE643C">
        <w:t>путем обеспечения возможности передать отходы товаров уполномоченному работнику торгового объекта.</w:t>
      </w:r>
    </w:p>
    <w:p w:rsidR="00F00D62" w:rsidRPr="00DE643C" w:rsidRDefault="00F00D62" w:rsidP="00F00D62">
      <w:pPr>
        <w:pStyle w:val="point"/>
      </w:pPr>
      <w:r w:rsidRPr="00DE643C">
        <w:t>10. Сбор отходов упаковки осуществляется путем установки на прилегающей к торговым объектам территории специальных контейнеров для самостоятельного размещения физическими лицами таких отходов, позволяющих осуществлять раздельный сбор отходов полимерной, стеклянной, бумажной и картонной упаковки.</w:t>
      </w:r>
    </w:p>
    <w:p w:rsidR="00F00D62" w:rsidRPr="00DE643C" w:rsidRDefault="00F00D62" w:rsidP="00F00D62">
      <w:pPr>
        <w:pStyle w:val="point"/>
      </w:pPr>
      <w:r w:rsidRPr="00DE643C">
        <w:t>11. Организации торговли должны обеспечивать свободный доступ физических лиц к местам сбора отходов товаров и упаковки в соответствии с режимом работы торгового объекта, а также осуществлять мониторинг наполняемости установленных контейнеров.</w:t>
      </w:r>
    </w:p>
    <w:p w:rsidR="00F00D62" w:rsidRPr="00DE643C" w:rsidRDefault="00F00D62" w:rsidP="00F00D62">
      <w:pPr>
        <w:pStyle w:val="point"/>
      </w:pPr>
      <w:r w:rsidRPr="00DE643C">
        <w:t>12. В местах сбора отходов товаров и упаковки устанавливаются информационные стенды с указанием видов отходов товаров и упаковки, сбор которых осуществляется.</w:t>
      </w:r>
    </w:p>
    <w:p w:rsidR="00F00D62" w:rsidRPr="00DE643C" w:rsidRDefault="00F00D62" w:rsidP="00F00D62">
      <w:pPr>
        <w:pStyle w:val="newncpi"/>
      </w:pPr>
      <w:r w:rsidRPr="00DE643C">
        <w:t>Не допускается размещение отходов производства, в том числе образовавшихся у организаций торговли, в местах сбора отходов товаров и упаковки.</w:t>
      </w:r>
    </w:p>
    <w:p w:rsidR="00F00D62" w:rsidRPr="00DE643C" w:rsidRDefault="00F00D62" w:rsidP="00F00D62">
      <w:pPr>
        <w:pStyle w:val="point"/>
      </w:pPr>
      <w:r w:rsidRPr="00DE643C">
        <w:t>13. Собранные организациями торговли отходы товаров и упаковки подлежат передаче на обезвреживание и (или) использование либо удалению иным способом с учетом требований Закона Республики Беларусь от 20 июля 2007 г. № 271-З «Об обращении с отходами».</w:t>
      </w:r>
    </w:p>
    <w:p w:rsidR="00F00D62" w:rsidRPr="00DE643C" w:rsidRDefault="00F00D62" w:rsidP="00F00D62">
      <w:pPr>
        <w:pStyle w:val="newncpi"/>
      </w:pPr>
      <w:r w:rsidRPr="00DE643C">
        <w:t> </w:t>
      </w:r>
    </w:p>
    <w:tbl>
      <w:tblPr>
        <w:tblW w:w="5000" w:type="pct"/>
        <w:tblCellMar>
          <w:left w:w="0" w:type="dxa"/>
          <w:right w:w="0" w:type="dxa"/>
        </w:tblCellMar>
        <w:tblLook w:val="04A0" w:firstRow="1" w:lastRow="0" w:firstColumn="1" w:lastColumn="0" w:noHBand="0" w:noVBand="1"/>
      </w:tblPr>
      <w:tblGrid>
        <w:gridCol w:w="5394"/>
        <w:gridCol w:w="3973"/>
      </w:tblGrid>
      <w:tr w:rsidR="00F00D62" w:rsidRPr="00DE643C" w:rsidTr="007400CB">
        <w:tc>
          <w:tcPr>
            <w:tcW w:w="2879" w:type="pct"/>
            <w:tcBorders>
              <w:top w:val="nil"/>
              <w:left w:val="nil"/>
              <w:bottom w:val="nil"/>
              <w:right w:val="nil"/>
            </w:tcBorders>
            <w:tcMar>
              <w:top w:w="0" w:type="dxa"/>
              <w:left w:w="6" w:type="dxa"/>
              <w:bottom w:w="0" w:type="dxa"/>
              <w:right w:w="6" w:type="dxa"/>
            </w:tcMar>
            <w:hideMark/>
          </w:tcPr>
          <w:p w:rsidR="00F00D62" w:rsidRPr="00DE643C" w:rsidRDefault="00F00D62" w:rsidP="007400CB">
            <w:pPr>
              <w:pStyle w:val="newncpi"/>
            </w:pPr>
            <w:r w:rsidRPr="00DE643C">
              <w:t> </w:t>
            </w:r>
          </w:p>
        </w:tc>
        <w:tc>
          <w:tcPr>
            <w:tcW w:w="2121" w:type="pct"/>
            <w:tcBorders>
              <w:top w:val="nil"/>
              <w:left w:val="nil"/>
              <w:bottom w:val="nil"/>
              <w:right w:val="nil"/>
            </w:tcBorders>
            <w:tcMar>
              <w:top w:w="0" w:type="dxa"/>
              <w:left w:w="6" w:type="dxa"/>
              <w:bottom w:w="0" w:type="dxa"/>
              <w:right w:w="6" w:type="dxa"/>
            </w:tcMar>
            <w:hideMark/>
          </w:tcPr>
          <w:p w:rsidR="00F00D62" w:rsidRPr="00DE643C" w:rsidRDefault="00F00D62" w:rsidP="007400CB">
            <w:pPr>
              <w:pStyle w:val="append1"/>
            </w:pPr>
            <w:bookmarkStart w:id="6" w:name="a108"/>
            <w:bookmarkEnd w:id="6"/>
            <w:r w:rsidRPr="00DE643C">
              <w:t>Приложение</w:t>
            </w:r>
          </w:p>
          <w:p w:rsidR="00F00D62" w:rsidRPr="00DE643C" w:rsidRDefault="00F00D62" w:rsidP="007400CB">
            <w:pPr>
              <w:pStyle w:val="append"/>
            </w:pPr>
            <w:r w:rsidRPr="00DE643C">
              <w:t xml:space="preserve">к Положению о порядке обеспечения </w:t>
            </w:r>
            <w:r w:rsidRPr="00DE643C">
              <w:br/>
              <w:t xml:space="preserve">организациями, осуществляющими </w:t>
            </w:r>
            <w:r w:rsidRPr="00DE643C">
              <w:br/>
              <w:t xml:space="preserve">розничную торговлю, сбора </w:t>
            </w:r>
            <w:r w:rsidRPr="00DE643C">
              <w:br/>
              <w:t xml:space="preserve">от физических лиц товаров, утративших </w:t>
            </w:r>
            <w:r w:rsidRPr="00DE643C">
              <w:br/>
              <w:t xml:space="preserve">потребительские свойства, и отходов </w:t>
            </w:r>
            <w:r w:rsidRPr="00DE643C">
              <w:br/>
              <w:t xml:space="preserve">упаковки в местах их реализации </w:t>
            </w:r>
            <w:r w:rsidRPr="00DE643C">
              <w:br/>
              <w:t xml:space="preserve">(ремонта, технического обслуживания) </w:t>
            </w:r>
          </w:p>
        </w:tc>
      </w:tr>
    </w:tbl>
    <w:p w:rsidR="00F00D62" w:rsidRPr="00DE643C" w:rsidRDefault="00F00D62" w:rsidP="00F00D62">
      <w:pPr>
        <w:pStyle w:val="titlep"/>
        <w:jc w:val="left"/>
      </w:pPr>
      <w:bookmarkStart w:id="7" w:name="a138"/>
      <w:bookmarkEnd w:id="7"/>
      <w:r w:rsidRPr="00DE643C">
        <w:t>ПЕРЕЧЕНЬ</w:t>
      </w:r>
      <w:r w:rsidRPr="00DE643C">
        <w:br/>
        <w:t>товаров, утративших потребительские свойства, и отходов упаковки, сбор которых от физических лиц обеспечивается организациями торговли</w:t>
      </w:r>
    </w:p>
    <w:p w:rsidR="00F00D62" w:rsidRPr="00DE643C" w:rsidRDefault="00F00D62" w:rsidP="00F00D62">
      <w:pPr>
        <w:pStyle w:val="point"/>
      </w:pPr>
      <w:r w:rsidRPr="00DE643C">
        <w:t xml:space="preserve">1. Крупногабаритное ЭЭО – оборудование, габариты которого в сумме в трех измерениях составляют от 160 сантиметров (холодильники, морозильники, холодильники-морозильники, стиральные, посудомоечные и сушильные машины, плиты и духовые </w:t>
      </w:r>
      <w:r w:rsidRPr="00DE643C">
        <w:lastRenderedPageBreak/>
        <w:t>шкафы газовые и электрические, телевизоры, накопительные электрические водонагреватели).</w:t>
      </w:r>
    </w:p>
    <w:p w:rsidR="00F00D62" w:rsidRPr="00DE643C" w:rsidRDefault="00F00D62" w:rsidP="00F00D62">
      <w:pPr>
        <w:pStyle w:val="point"/>
      </w:pPr>
      <w:r w:rsidRPr="00DE643C">
        <w:t>2. </w:t>
      </w:r>
      <w:proofErr w:type="gramStart"/>
      <w:r w:rsidRPr="00DE643C">
        <w:t>Среднегабаритное ЭЭО – оборудование, габариты которого в сумме в трех измерениях составляют от 80 до 160 сантиметров (телевизоры, мониторы, системные блоки компьютеров, принтеры, копировальные машины, сканеры, ноутбуки, аппаратура звукозаписывающая или звуковоспроизводящая, видеозаписывающая или видеовоспроизводящая, кондиционеры, вентиляторы, СВЧ-печи, обогреватели, накопительные электрические водонагреватели, пылесосы, пишущие машинки, швейные машины).</w:t>
      </w:r>
      <w:proofErr w:type="gramEnd"/>
    </w:p>
    <w:p w:rsidR="00F00D62" w:rsidRPr="00DE643C" w:rsidRDefault="00F00D62" w:rsidP="00F00D62">
      <w:pPr>
        <w:pStyle w:val="point"/>
      </w:pPr>
      <w:r w:rsidRPr="00DE643C">
        <w:t>3. </w:t>
      </w:r>
      <w:proofErr w:type="gramStart"/>
      <w:r w:rsidRPr="00DE643C">
        <w:t>Мелкогабаритное ЭЭО – оборудование, габариты которого в сумме в трех измерениях составляют до 80 сантиметров (ЭЭО, не относящееся к крупногабаритному и среднегабаритному, в том числе калькуляторы электронные, миксеры, блендеры, электробритвы, машинки для стрижки волос, фены, электроутюги, телефонные аппараты, включая телефонные аппараты для сотовых или других беспроводных сетей связи, видеофоны, домофоны, аппаратура для радиовещания, электроинструменты, фотокамеры, консоли для видеоигр).</w:t>
      </w:r>
      <w:proofErr w:type="gramEnd"/>
    </w:p>
    <w:p w:rsidR="00F00D62" w:rsidRPr="00DE643C" w:rsidRDefault="00F00D62" w:rsidP="00F00D62">
      <w:pPr>
        <w:pStyle w:val="point"/>
      </w:pPr>
      <w:r w:rsidRPr="00DE643C">
        <w:t>4. Лампы газоразрядные ртутьсодержащие.</w:t>
      </w:r>
    </w:p>
    <w:p w:rsidR="00F00D62" w:rsidRPr="00DE643C" w:rsidRDefault="00F00D62" w:rsidP="00F00D62">
      <w:pPr>
        <w:pStyle w:val="point"/>
      </w:pPr>
      <w:r w:rsidRPr="00DE643C">
        <w:t>5. Элементы питания (батарейки).</w:t>
      </w:r>
    </w:p>
    <w:p w:rsidR="00F00D62" w:rsidRPr="00DE643C" w:rsidRDefault="00F00D62" w:rsidP="00F00D62">
      <w:pPr>
        <w:pStyle w:val="point"/>
      </w:pPr>
      <w:r w:rsidRPr="00DE643C">
        <w:t>6. Отходы полимерной, стеклянной, бумажной и картонной упаковки.</w:t>
      </w:r>
    </w:p>
    <w:p w:rsidR="00EE0B4D" w:rsidRDefault="00EE0B4D"/>
    <w:sectPr w:rsidR="00EE0B4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0D62"/>
    <w:rsid w:val="00EE0B4D"/>
    <w:rsid w:val="00F00D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30"/>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0D6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p">
    <w:name w:val="titlep"/>
    <w:basedOn w:val="a"/>
    <w:rsid w:val="00F00D62"/>
    <w:pPr>
      <w:spacing w:before="360" w:after="360" w:line="240" w:lineRule="auto"/>
      <w:jc w:val="center"/>
    </w:pPr>
    <w:rPr>
      <w:rFonts w:eastAsia="Times New Roman" w:cs="Times New Roman"/>
      <w:b/>
      <w:bCs/>
      <w:sz w:val="24"/>
      <w:szCs w:val="24"/>
      <w:lang w:eastAsia="ru-RU"/>
    </w:rPr>
  </w:style>
  <w:style w:type="paragraph" w:customStyle="1" w:styleId="titleu">
    <w:name w:val="titleu"/>
    <w:basedOn w:val="a"/>
    <w:rsid w:val="00F00D62"/>
    <w:pPr>
      <w:spacing w:before="360" w:after="360" w:line="240" w:lineRule="auto"/>
    </w:pPr>
    <w:rPr>
      <w:rFonts w:eastAsia="Times New Roman" w:cs="Times New Roman"/>
      <w:b/>
      <w:bCs/>
      <w:sz w:val="24"/>
      <w:szCs w:val="24"/>
      <w:lang w:eastAsia="ru-RU"/>
    </w:rPr>
  </w:style>
  <w:style w:type="paragraph" w:customStyle="1" w:styleId="point">
    <w:name w:val="point"/>
    <w:basedOn w:val="a"/>
    <w:rsid w:val="00F00D62"/>
    <w:pPr>
      <w:spacing w:before="160" w:after="160" w:line="240" w:lineRule="auto"/>
      <w:ind w:firstLine="567"/>
      <w:jc w:val="both"/>
    </w:pPr>
    <w:rPr>
      <w:rFonts w:eastAsia="Times New Roman" w:cs="Times New Roman"/>
      <w:sz w:val="24"/>
      <w:szCs w:val="24"/>
      <w:lang w:eastAsia="ru-RU"/>
    </w:rPr>
  </w:style>
  <w:style w:type="paragraph" w:customStyle="1" w:styleId="append">
    <w:name w:val="append"/>
    <w:basedOn w:val="a"/>
    <w:rsid w:val="00F00D62"/>
    <w:pPr>
      <w:spacing w:after="0" w:line="240" w:lineRule="auto"/>
    </w:pPr>
    <w:rPr>
      <w:rFonts w:eastAsia="Times New Roman" w:cs="Times New Roman"/>
      <w:i/>
      <w:iCs/>
      <w:sz w:val="22"/>
      <w:lang w:eastAsia="ru-RU"/>
    </w:rPr>
  </w:style>
  <w:style w:type="paragraph" w:customStyle="1" w:styleId="append1">
    <w:name w:val="append1"/>
    <w:basedOn w:val="a"/>
    <w:rsid w:val="00F00D62"/>
    <w:pPr>
      <w:spacing w:after="28" w:line="240" w:lineRule="auto"/>
    </w:pPr>
    <w:rPr>
      <w:rFonts w:eastAsia="Times New Roman" w:cs="Times New Roman"/>
      <w:i/>
      <w:iCs/>
      <w:sz w:val="22"/>
      <w:lang w:eastAsia="ru-RU"/>
    </w:rPr>
  </w:style>
  <w:style w:type="paragraph" w:customStyle="1" w:styleId="cap1">
    <w:name w:val="cap1"/>
    <w:basedOn w:val="a"/>
    <w:rsid w:val="00F00D62"/>
    <w:pPr>
      <w:spacing w:after="0" w:line="240" w:lineRule="auto"/>
    </w:pPr>
    <w:rPr>
      <w:rFonts w:eastAsia="Times New Roman" w:cs="Times New Roman"/>
      <w:i/>
      <w:iCs/>
      <w:sz w:val="22"/>
      <w:lang w:eastAsia="ru-RU"/>
    </w:rPr>
  </w:style>
  <w:style w:type="paragraph" w:customStyle="1" w:styleId="capu1">
    <w:name w:val="capu1"/>
    <w:basedOn w:val="a"/>
    <w:rsid w:val="00F00D62"/>
    <w:pPr>
      <w:spacing w:after="120" w:line="240" w:lineRule="auto"/>
    </w:pPr>
    <w:rPr>
      <w:rFonts w:eastAsia="Times New Roman" w:cs="Times New Roman"/>
      <w:i/>
      <w:iCs/>
      <w:sz w:val="22"/>
      <w:lang w:eastAsia="ru-RU"/>
    </w:rPr>
  </w:style>
  <w:style w:type="paragraph" w:customStyle="1" w:styleId="newncpi">
    <w:name w:val="newncpi"/>
    <w:basedOn w:val="a"/>
    <w:rsid w:val="00F00D62"/>
    <w:pPr>
      <w:spacing w:before="160" w:after="160" w:line="240" w:lineRule="auto"/>
      <w:ind w:firstLine="567"/>
      <w:jc w:val="both"/>
    </w:pPr>
    <w:rPr>
      <w:rFonts w:eastAsia="Times New Roman" w:cs="Times New Roman"/>
      <w:sz w:val="24"/>
      <w:szCs w:val="24"/>
      <w:lang w:eastAsia="ru-RU"/>
    </w:rPr>
  </w:style>
  <w:style w:type="paragraph" w:customStyle="1" w:styleId="titlencpi">
    <w:name w:val="titlencpi"/>
    <w:basedOn w:val="a"/>
    <w:rsid w:val="00F00D62"/>
    <w:pPr>
      <w:spacing w:before="360" w:after="360" w:line="240" w:lineRule="auto"/>
      <w:ind w:right="2268"/>
    </w:pPr>
    <w:rPr>
      <w:rFonts w:eastAsia="Times New Roman" w:cs="Times New Roman"/>
      <w:b/>
      <w:bCs/>
      <w:sz w:val="24"/>
      <w:szCs w:val="24"/>
      <w:lang w:eastAsia="ru-RU"/>
    </w:rPr>
  </w:style>
  <w:style w:type="paragraph" w:customStyle="1" w:styleId="underpoint">
    <w:name w:val="underpoint"/>
    <w:basedOn w:val="a"/>
    <w:rsid w:val="00F00D62"/>
    <w:pPr>
      <w:spacing w:before="160" w:after="160" w:line="240" w:lineRule="auto"/>
      <w:ind w:firstLine="567"/>
      <w:jc w:val="both"/>
    </w:pPr>
    <w:rPr>
      <w:rFonts w:eastAsia="Times New Roman" w:cs="Times New Roman"/>
      <w:sz w:val="24"/>
      <w:szCs w:val="24"/>
      <w:lang w:eastAsia="ru-RU"/>
    </w:rPr>
  </w:style>
  <w:style w:type="paragraph" w:customStyle="1" w:styleId="preamble">
    <w:name w:val="preamble"/>
    <w:basedOn w:val="a"/>
    <w:rsid w:val="00F00D62"/>
    <w:pPr>
      <w:spacing w:before="160" w:after="160" w:line="240" w:lineRule="auto"/>
      <w:ind w:firstLine="567"/>
      <w:jc w:val="both"/>
    </w:pPr>
    <w:rPr>
      <w:rFonts w:eastAsia="Times New Roman" w:cs="Times New Roman"/>
      <w:sz w:val="24"/>
      <w:szCs w:val="24"/>
      <w:lang w:eastAsia="ru-RU"/>
    </w:rPr>
  </w:style>
  <w:style w:type="paragraph" w:customStyle="1" w:styleId="table10">
    <w:name w:val="table10"/>
    <w:basedOn w:val="a"/>
    <w:rsid w:val="00F00D62"/>
    <w:pPr>
      <w:spacing w:after="0" w:line="240" w:lineRule="auto"/>
    </w:pPr>
    <w:rPr>
      <w:rFonts w:eastAsia="Times New Roman" w:cs="Times New Roman"/>
      <w:sz w:val="20"/>
      <w:szCs w:val="20"/>
      <w:lang w:eastAsia="ru-RU"/>
    </w:rPr>
  </w:style>
  <w:style w:type="paragraph" w:customStyle="1" w:styleId="newncpi0">
    <w:name w:val="newncpi0"/>
    <w:basedOn w:val="a"/>
    <w:rsid w:val="00F00D62"/>
    <w:pPr>
      <w:spacing w:before="160" w:after="160" w:line="240" w:lineRule="auto"/>
      <w:jc w:val="both"/>
    </w:pPr>
    <w:rPr>
      <w:rFonts w:eastAsia="Times New Roman" w:cs="Times New Roman"/>
      <w:sz w:val="24"/>
      <w:szCs w:val="24"/>
      <w:lang w:eastAsia="ru-RU"/>
    </w:rPr>
  </w:style>
  <w:style w:type="character" w:customStyle="1" w:styleId="name">
    <w:name w:val="name"/>
    <w:basedOn w:val="a0"/>
    <w:rsid w:val="00F00D62"/>
    <w:rPr>
      <w:rFonts w:ascii="Times New Roman" w:hAnsi="Times New Roman" w:cs="Times New Roman" w:hint="default"/>
      <w:b/>
      <w:bCs/>
      <w:caps/>
    </w:rPr>
  </w:style>
  <w:style w:type="character" w:customStyle="1" w:styleId="promulgator">
    <w:name w:val="promulgator"/>
    <w:basedOn w:val="a0"/>
    <w:rsid w:val="00F00D62"/>
    <w:rPr>
      <w:rFonts w:ascii="Times New Roman" w:hAnsi="Times New Roman" w:cs="Times New Roman" w:hint="default"/>
      <w:b/>
      <w:bCs/>
      <w:caps/>
    </w:rPr>
  </w:style>
  <w:style w:type="character" w:customStyle="1" w:styleId="datepr">
    <w:name w:val="datepr"/>
    <w:basedOn w:val="a0"/>
    <w:rsid w:val="00F00D62"/>
    <w:rPr>
      <w:rFonts w:ascii="Times New Roman" w:hAnsi="Times New Roman" w:cs="Times New Roman" w:hint="default"/>
      <w:i/>
      <w:iCs/>
    </w:rPr>
  </w:style>
  <w:style w:type="character" w:customStyle="1" w:styleId="number">
    <w:name w:val="number"/>
    <w:basedOn w:val="a0"/>
    <w:rsid w:val="00F00D62"/>
    <w:rPr>
      <w:rFonts w:ascii="Times New Roman" w:hAnsi="Times New Roman" w:cs="Times New Roman" w:hint="default"/>
      <w:i/>
      <w:iCs/>
    </w:rPr>
  </w:style>
  <w:style w:type="character" w:customStyle="1" w:styleId="rednoun">
    <w:name w:val="rednoun"/>
    <w:basedOn w:val="a0"/>
    <w:rsid w:val="00F00D62"/>
  </w:style>
  <w:style w:type="character" w:customStyle="1" w:styleId="post">
    <w:name w:val="post"/>
    <w:basedOn w:val="a0"/>
    <w:rsid w:val="00F00D62"/>
    <w:rPr>
      <w:rFonts w:ascii="Times New Roman" w:hAnsi="Times New Roman" w:cs="Times New Roman" w:hint="default"/>
      <w:b/>
      <w:bCs/>
      <w:i/>
      <w:iCs/>
      <w:sz w:val="22"/>
      <w:szCs w:val="22"/>
    </w:rPr>
  </w:style>
  <w:style w:type="character" w:customStyle="1" w:styleId="pers">
    <w:name w:val="pers"/>
    <w:basedOn w:val="a0"/>
    <w:rsid w:val="00F00D62"/>
    <w:rPr>
      <w:rFonts w:ascii="Times New Roman" w:hAnsi="Times New Roman" w:cs="Times New Roman" w:hint="default"/>
      <w:b/>
      <w:bCs/>
      <w:i/>
      <w:iCs/>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30"/>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0D6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p">
    <w:name w:val="titlep"/>
    <w:basedOn w:val="a"/>
    <w:rsid w:val="00F00D62"/>
    <w:pPr>
      <w:spacing w:before="360" w:after="360" w:line="240" w:lineRule="auto"/>
      <w:jc w:val="center"/>
    </w:pPr>
    <w:rPr>
      <w:rFonts w:eastAsia="Times New Roman" w:cs="Times New Roman"/>
      <w:b/>
      <w:bCs/>
      <w:sz w:val="24"/>
      <w:szCs w:val="24"/>
      <w:lang w:eastAsia="ru-RU"/>
    </w:rPr>
  </w:style>
  <w:style w:type="paragraph" w:customStyle="1" w:styleId="titleu">
    <w:name w:val="titleu"/>
    <w:basedOn w:val="a"/>
    <w:rsid w:val="00F00D62"/>
    <w:pPr>
      <w:spacing w:before="360" w:after="360" w:line="240" w:lineRule="auto"/>
    </w:pPr>
    <w:rPr>
      <w:rFonts w:eastAsia="Times New Roman" w:cs="Times New Roman"/>
      <w:b/>
      <w:bCs/>
      <w:sz w:val="24"/>
      <w:szCs w:val="24"/>
      <w:lang w:eastAsia="ru-RU"/>
    </w:rPr>
  </w:style>
  <w:style w:type="paragraph" w:customStyle="1" w:styleId="point">
    <w:name w:val="point"/>
    <w:basedOn w:val="a"/>
    <w:rsid w:val="00F00D62"/>
    <w:pPr>
      <w:spacing w:before="160" w:after="160" w:line="240" w:lineRule="auto"/>
      <w:ind w:firstLine="567"/>
      <w:jc w:val="both"/>
    </w:pPr>
    <w:rPr>
      <w:rFonts w:eastAsia="Times New Roman" w:cs="Times New Roman"/>
      <w:sz w:val="24"/>
      <w:szCs w:val="24"/>
      <w:lang w:eastAsia="ru-RU"/>
    </w:rPr>
  </w:style>
  <w:style w:type="paragraph" w:customStyle="1" w:styleId="append">
    <w:name w:val="append"/>
    <w:basedOn w:val="a"/>
    <w:rsid w:val="00F00D62"/>
    <w:pPr>
      <w:spacing w:after="0" w:line="240" w:lineRule="auto"/>
    </w:pPr>
    <w:rPr>
      <w:rFonts w:eastAsia="Times New Roman" w:cs="Times New Roman"/>
      <w:i/>
      <w:iCs/>
      <w:sz w:val="22"/>
      <w:lang w:eastAsia="ru-RU"/>
    </w:rPr>
  </w:style>
  <w:style w:type="paragraph" w:customStyle="1" w:styleId="append1">
    <w:name w:val="append1"/>
    <w:basedOn w:val="a"/>
    <w:rsid w:val="00F00D62"/>
    <w:pPr>
      <w:spacing w:after="28" w:line="240" w:lineRule="auto"/>
    </w:pPr>
    <w:rPr>
      <w:rFonts w:eastAsia="Times New Roman" w:cs="Times New Roman"/>
      <w:i/>
      <w:iCs/>
      <w:sz w:val="22"/>
      <w:lang w:eastAsia="ru-RU"/>
    </w:rPr>
  </w:style>
  <w:style w:type="paragraph" w:customStyle="1" w:styleId="cap1">
    <w:name w:val="cap1"/>
    <w:basedOn w:val="a"/>
    <w:rsid w:val="00F00D62"/>
    <w:pPr>
      <w:spacing w:after="0" w:line="240" w:lineRule="auto"/>
    </w:pPr>
    <w:rPr>
      <w:rFonts w:eastAsia="Times New Roman" w:cs="Times New Roman"/>
      <w:i/>
      <w:iCs/>
      <w:sz w:val="22"/>
      <w:lang w:eastAsia="ru-RU"/>
    </w:rPr>
  </w:style>
  <w:style w:type="paragraph" w:customStyle="1" w:styleId="capu1">
    <w:name w:val="capu1"/>
    <w:basedOn w:val="a"/>
    <w:rsid w:val="00F00D62"/>
    <w:pPr>
      <w:spacing w:after="120" w:line="240" w:lineRule="auto"/>
    </w:pPr>
    <w:rPr>
      <w:rFonts w:eastAsia="Times New Roman" w:cs="Times New Roman"/>
      <w:i/>
      <w:iCs/>
      <w:sz w:val="22"/>
      <w:lang w:eastAsia="ru-RU"/>
    </w:rPr>
  </w:style>
  <w:style w:type="paragraph" w:customStyle="1" w:styleId="newncpi">
    <w:name w:val="newncpi"/>
    <w:basedOn w:val="a"/>
    <w:rsid w:val="00F00D62"/>
    <w:pPr>
      <w:spacing w:before="160" w:after="160" w:line="240" w:lineRule="auto"/>
      <w:ind w:firstLine="567"/>
      <w:jc w:val="both"/>
    </w:pPr>
    <w:rPr>
      <w:rFonts w:eastAsia="Times New Roman" w:cs="Times New Roman"/>
      <w:sz w:val="24"/>
      <w:szCs w:val="24"/>
      <w:lang w:eastAsia="ru-RU"/>
    </w:rPr>
  </w:style>
  <w:style w:type="paragraph" w:customStyle="1" w:styleId="titlencpi">
    <w:name w:val="titlencpi"/>
    <w:basedOn w:val="a"/>
    <w:rsid w:val="00F00D62"/>
    <w:pPr>
      <w:spacing w:before="360" w:after="360" w:line="240" w:lineRule="auto"/>
      <w:ind w:right="2268"/>
    </w:pPr>
    <w:rPr>
      <w:rFonts w:eastAsia="Times New Roman" w:cs="Times New Roman"/>
      <w:b/>
      <w:bCs/>
      <w:sz w:val="24"/>
      <w:szCs w:val="24"/>
      <w:lang w:eastAsia="ru-RU"/>
    </w:rPr>
  </w:style>
  <w:style w:type="paragraph" w:customStyle="1" w:styleId="underpoint">
    <w:name w:val="underpoint"/>
    <w:basedOn w:val="a"/>
    <w:rsid w:val="00F00D62"/>
    <w:pPr>
      <w:spacing w:before="160" w:after="160" w:line="240" w:lineRule="auto"/>
      <w:ind w:firstLine="567"/>
      <w:jc w:val="both"/>
    </w:pPr>
    <w:rPr>
      <w:rFonts w:eastAsia="Times New Roman" w:cs="Times New Roman"/>
      <w:sz w:val="24"/>
      <w:szCs w:val="24"/>
      <w:lang w:eastAsia="ru-RU"/>
    </w:rPr>
  </w:style>
  <w:style w:type="paragraph" w:customStyle="1" w:styleId="preamble">
    <w:name w:val="preamble"/>
    <w:basedOn w:val="a"/>
    <w:rsid w:val="00F00D62"/>
    <w:pPr>
      <w:spacing w:before="160" w:after="160" w:line="240" w:lineRule="auto"/>
      <w:ind w:firstLine="567"/>
      <w:jc w:val="both"/>
    </w:pPr>
    <w:rPr>
      <w:rFonts w:eastAsia="Times New Roman" w:cs="Times New Roman"/>
      <w:sz w:val="24"/>
      <w:szCs w:val="24"/>
      <w:lang w:eastAsia="ru-RU"/>
    </w:rPr>
  </w:style>
  <w:style w:type="paragraph" w:customStyle="1" w:styleId="table10">
    <w:name w:val="table10"/>
    <w:basedOn w:val="a"/>
    <w:rsid w:val="00F00D62"/>
    <w:pPr>
      <w:spacing w:after="0" w:line="240" w:lineRule="auto"/>
    </w:pPr>
    <w:rPr>
      <w:rFonts w:eastAsia="Times New Roman" w:cs="Times New Roman"/>
      <w:sz w:val="20"/>
      <w:szCs w:val="20"/>
      <w:lang w:eastAsia="ru-RU"/>
    </w:rPr>
  </w:style>
  <w:style w:type="paragraph" w:customStyle="1" w:styleId="newncpi0">
    <w:name w:val="newncpi0"/>
    <w:basedOn w:val="a"/>
    <w:rsid w:val="00F00D62"/>
    <w:pPr>
      <w:spacing w:before="160" w:after="160" w:line="240" w:lineRule="auto"/>
      <w:jc w:val="both"/>
    </w:pPr>
    <w:rPr>
      <w:rFonts w:eastAsia="Times New Roman" w:cs="Times New Roman"/>
      <w:sz w:val="24"/>
      <w:szCs w:val="24"/>
      <w:lang w:eastAsia="ru-RU"/>
    </w:rPr>
  </w:style>
  <w:style w:type="character" w:customStyle="1" w:styleId="name">
    <w:name w:val="name"/>
    <w:basedOn w:val="a0"/>
    <w:rsid w:val="00F00D62"/>
    <w:rPr>
      <w:rFonts w:ascii="Times New Roman" w:hAnsi="Times New Roman" w:cs="Times New Roman" w:hint="default"/>
      <w:b/>
      <w:bCs/>
      <w:caps/>
    </w:rPr>
  </w:style>
  <w:style w:type="character" w:customStyle="1" w:styleId="promulgator">
    <w:name w:val="promulgator"/>
    <w:basedOn w:val="a0"/>
    <w:rsid w:val="00F00D62"/>
    <w:rPr>
      <w:rFonts w:ascii="Times New Roman" w:hAnsi="Times New Roman" w:cs="Times New Roman" w:hint="default"/>
      <w:b/>
      <w:bCs/>
      <w:caps/>
    </w:rPr>
  </w:style>
  <w:style w:type="character" w:customStyle="1" w:styleId="datepr">
    <w:name w:val="datepr"/>
    <w:basedOn w:val="a0"/>
    <w:rsid w:val="00F00D62"/>
    <w:rPr>
      <w:rFonts w:ascii="Times New Roman" w:hAnsi="Times New Roman" w:cs="Times New Roman" w:hint="default"/>
      <w:i/>
      <w:iCs/>
    </w:rPr>
  </w:style>
  <w:style w:type="character" w:customStyle="1" w:styleId="number">
    <w:name w:val="number"/>
    <w:basedOn w:val="a0"/>
    <w:rsid w:val="00F00D62"/>
    <w:rPr>
      <w:rFonts w:ascii="Times New Roman" w:hAnsi="Times New Roman" w:cs="Times New Roman" w:hint="default"/>
      <w:i/>
      <w:iCs/>
    </w:rPr>
  </w:style>
  <w:style w:type="character" w:customStyle="1" w:styleId="rednoun">
    <w:name w:val="rednoun"/>
    <w:basedOn w:val="a0"/>
    <w:rsid w:val="00F00D62"/>
  </w:style>
  <w:style w:type="character" w:customStyle="1" w:styleId="post">
    <w:name w:val="post"/>
    <w:basedOn w:val="a0"/>
    <w:rsid w:val="00F00D62"/>
    <w:rPr>
      <w:rFonts w:ascii="Times New Roman" w:hAnsi="Times New Roman" w:cs="Times New Roman" w:hint="default"/>
      <w:b/>
      <w:bCs/>
      <w:i/>
      <w:iCs/>
      <w:sz w:val="22"/>
      <w:szCs w:val="22"/>
    </w:rPr>
  </w:style>
  <w:style w:type="character" w:customStyle="1" w:styleId="pers">
    <w:name w:val="pers"/>
    <w:basedOn w:val="a0"/>
    <w:rsid w:val="00F00D62"/>
    <w:rPr>
      <w:rFonts w:ascii="Times New Roman" w:hAnsi="Times New Roman" w:cs="Times New Roman" w:hint="default"/>
      <w:b/>
      <w:bCs/>
      <w:i/>
      <w:i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2134</Words>
  <Characters>12170</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Максименко</dc:creator>
  <cp:keywords/>
  <dc:description/>
  <cp:lastModifiedBy>Максименко</cp:lastModifiedBy>
  <cp:revision>1</cp:revision>
  <dcterms:created xsi:type="dcterms:W3CDTF">2020-07-23T06:43:00Z</dcterms:created>
  <dcterms:modified xsi:type="dcterms:W3CDTF">2020-07-23T06:45:00Z</dcterms:modified>
</cp:coreProperties>
</file>