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2E6" w:rsidRDefault="009E52E6" w:rsidP="00E453D1">
      <w:pPr>
        <w:widowControl w:val="0"/>
        <w:suppressAutoHyphens w:val="0"/>
        <w:autoSpaceDE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  <w:bookmarkStart w:id="0" w:name="_GoBack"/>
      <w:bookmarkEnd w:id="0"/>
    </w:p>
    <w:p w:rsidR="00E453D1" w:rsidRPr="00E453D1" w:rsidRDefault="00E453D1" w:rsidP="00E453D1">
      <w:pPr>
        <w:widowControl w:val="0"/>
        <w:suppressAutoHyphens w:val="0"/>
        <w:autoSpaceDE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  <w:proofErr w:type="gramStart"/>
      <w:r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В соответствии с п</w:t>
      </w:r>
      <w:r w:rsidR="00F41F32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унктом </w:t>
      </w:r>
      <w:r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1 Плана </w:t>
      </w:r>
      <w:r w:rsidRPr="00E453D1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мероприятий по созданию условий для стимулирования производителей пиломатериалов всех форм собственности к производству продукции с более высокой добавленной стоимостью</w:t>
      </w:r>
      <w:r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, утвержденного </w:t>
      </w:r>
      <w:r w:rsidRPr="00E453D1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Советом Министров Республики Беларусь</w:t>
      </w:r>
      <w:r w:rsidR="00F00E2B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 </w:t>
      </w:r>
      <w:r w:rsidRPr="00E453D1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7 июля 2021 г. </w:t>
      </w:r>
      <w:r w:rsidR="004358A3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за </w:t>
      </w:r>
      <w:r w:rsidRPr="00E453D1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№</w:t>
      </w:r>
      <w:r w:rsidR="004358A3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 </w:t>
      </w:r>
      <w:r w:rsidRPr="00E453D1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07/201-425</w:t>
      </w:r>
      <w:r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, Белорусским фондом финансовой поддержки предпринимателей (далее – Фонд) </w:t>
      </w:r>
      <w:r w:rsidRPr="00E453D1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осуществлена проработка механизма предоставления поручительств Фонда по кредитам с целью приобретения технологического оборудования, необходимого для выпуска</w:t>
      </w:r>
      <w:proofErr w:type="gramEnd"/>
      <w:r w:rsidRPr="00E453D1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 </w:t>
      </w:r>
      <w:r w:rsidR="00F41F32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соответствующей </w:t>
      </w:r>
      <w:r w:rsidRPr="00E453D1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продукции.</w:t>
      </w:r>
    </w:p>
    <w:p w:rsidR="007C7AB2" w:rsidRDefault="00E453D1" w:rsidP="00E453D1">
      <w:pPr>
        <w:widowControl w:val="0"/>
        <w:suppressAutoHyphens w:val="0"/>
        <w:autoSpaceDE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  <w:r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Для обеспечения широкого доступа производите</w:t>
      </w:r>
      <w:r w:rsidR="007C7AB2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лей к кредитным ресурсам предлагается использовать действующий </w:t>
      </w:r>
      <w:r w:rsidR="00835B18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в Фонде инструмент </w:t>
      </w:r>
      <w:r w:rsidR="007C7AB2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поручительств Фонда по банковским кредитам с установлением</w:t>
      </w:r>
      <w:r w:rsidR="005D70E8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 </w:t>
      </w:r>
      <w:r w:rsidR="007C7AB2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льготной ставки вознаграждения</w:t>
      </w:r>
      <w:r w:rsidR="004358A3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 по данным </w:t>
      </w:r>
      <w:r w:rsidR="007C7AB2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поручительств</w:t>
      </w:r>
      <w:r w:rsidR="004358A3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ам</w:t>
      </w:r>
      <w:r w:rsidR="007C7AB2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.</w:t>
      </w:r>
    </w:p>
    <w:p w:rsidR="003771F5" w:rsidRDefault="003771F5" w:rsidP="003771F5">
      <w:pPr>
        <w:widowControl w:val="0"/>
        <w:suppressAutoHyphens w:val="0"/>
        <w:autoSpaceDE/>
        <w:spacing w:after="0" w:line="280" w:lineRule="exact"/>
        <w:ind w:left="709" w:firstLine="709"/>
        <w:jc w:val="both"/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</w:pPr>
    </w:p>
    <w:p w:rsidR="00536BA5" w:rsidRDefault="007C7AB2" w:rsidP="003771F5">
      <w:pPr>
        <w:widowControl w:val="0"/>
        <w:suppressAutoHyphens w:val="0"/>
        <w:autoSpaceDE/>
        <w:spacing w:after="0" w:line="280" w:lineRule="exact"/>
        <w:ind w:left="709" w:firstLine="709"/>
        <w:jc w:val="both"/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</w:pPr>
      <w:proofErr w:type="spellStart"/>
      <w:r w:rsidRPr="00835B18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>Справочно</w:t>
      </w:r>
      <w:proofErr w:type="spellEnd"/>
      <w:r w:rsidRPr="00835B18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: </w:t>
      </w:r>
      <w:r w:rsidR="004358A3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>Механизм</w:t>
      </w:r>
      <w:r w:rsidRPr="00835B18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 предоставления поручительств Фонда по банковским кредитам </w:t>
      </w:r>
      <w:proofErr w:type="spellStart"/>
      <w:r w:rsidR="00F41F32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>релизуется</w:t>
      </w:r>
      <w:proofErr w:type="spellEnd"/>
      <w:r w:rsidRPr="00835B18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 с 2019 года. </w:t>
      </w:r>
      <w:r w:rsidR="00835B18" w:rsidRPr="00835B18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>Поручительства предоставляются на основании Положения о выдаче поручительств Белорусского фонда финансовой поддержки предпринимателей (утверждено правлением Фонда, протокол</w:t>
      </w:r>
      <w:r w:rsidR="008B3114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br/>
      </w:r>
      <w:r w:rsidR="00835B18" w:rsidRPr="00835B18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>от 05 марта 2019 № 1, протокол от 01 августа 2019 № 4,</w:t>
      </w:r>
      <w:r w:rsidR="008B3114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br/>
      </w:r>
      <w:r w:rsidR="00835B18" w:rsidRPr="00835B18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протокол от 06 мая 2020 № 1). </w:t>
      </w:r>
    </w:p>
    <w:p w:rsidR="007C7AB2" w:rsidRDefault="00835B18" w:rsidP="003771F5">
      <w:pPr>
        <w:widowControl w:val="0"/>
        <w:suppressAutoHyphens w:val="0"/>
        <w:autoSpaceDE/>
        <w:spacing w:after="0" w:line="280" w:lineRule="exact"/>
        <w:ind w:left="709" w:firstLine="709"/>
        <w:jc w:val="both"/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</w:pPr>
      <w:r w:rsidRPr="00835B18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>Поручительства предоставляются без посещения Фонда</w:t>
      </w:r>
      <w:r w:rsidR="006A604E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 </w:t>
      </w:r>
      <w:r w:rsidR="006A604E" w:rsidRPr="006A604E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>кредитополучателями</w:t>
      </w:r>
      <w:r w:rsidRPr="00835B18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, на основании документов, поданных кредитополучателями в банки. </w:t>
      </w:r>
      <w:r w:rsidR="007C7AB2" w:rsidRPr="00835B18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Сеть банков-партнеров, принимающих поручительства Фонда в обеспечение банковских кредитов, включает в себя </w:t>
      </w:r>
      <w:r w:rsidR="00F67EAB" w:rsidRPr="00835B18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>семь банков</w:t>
      </w:r>
      <w:r w:rsidR="003771F5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 (</w:t>
      </w:r>
      <w:proofErr w:type="spellStart"/>
      <w:r w:rsidR="003771F5" w:rsidRPr="003771F5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>Белагропромбанк</w:t>
      </w:r>
      <w:proofErr w:type="spellEnd"/>
      <w:r w:rsidR="003771F5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, </w:t>
      </w:r>
      <w:r w:rsidR="003771F5" w:rsidRPr="003771F5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Банк </w:t>
      </w:r>
      <w:proofErr w:type="spellStart"/>
      <w:r w:rsidR="003771F5" w:rsidRPr="003771F5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>Дабрабыт</w:t>
      </w:r>
      <w:proofErr w:type="spellEnd"/>
      <w:r w:rsidR="003771F5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>,</w:t>
      </w:r>
      <w:r w:rsidR="003771F5" w:rsidRPr="003771F5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 Банк ВТБ (Беларусь)</w:t>
      </w:r>
      <w:r w:rsidR="003771F5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, </w:t>
      </w:r>
      <w:proofErr w:type="spellStart"/>
      <w:r w:rsidR="003771F5" w:rsidRPr="003771F5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>МТБанк</w:t>
      </w:r>
      <w:proofErr w:type="spellEnd"/>
      <w:r w:rsidR="003771F5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, </w:t>
      </w:r>
      <w:r w:rsidR="003771F5" w:rsidRPr="003771F5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АСБ </w:t>
      </w:r>
      <w:proofErr w:type="spellStart"/>
      <w:r w:rsidR="003771F5" w:rsidRPr="003771F5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>Беларусбанк</w:t>
      </w:r>
      <w:proofErr w:type="spellEnd"/>
      <w:r w:rsidR="003771F5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, </w:t>
      </w:r>
      <w:proofErr w:type="spellStart"/>
      <w:r w:rsidR="003771F5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>Белинвестбанк</w:t>
      </w:r>
      <w:proofErr w:type="spellEnd"/>
      <w:r w:rsidR="003771F5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>, Банк Решение)</w:t>
      </w:r>
      <w:r w:rsidR="00F67EAB" w:rsidRPr="00835B18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, </w:t>
      </w:r>
      <w:r w:rsidR="005D70E8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в </w:t>
      </w:r>
      <w:r w:rsidR="00F41F32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>их</w:t>
      </w:r>
      <w:r w:rsidR="005D70E8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 числе</w:t>
      </w:r>
      <w:r w:rsidR="00F67EAB" w:rsidRPr="00835B18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 шесть системно значимых</w:t>
      </w:r>
      <w:r w:rsidR="005D70E8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 банков</w:t>
      </w:r>
      <w:r w:rsidR="00F67EAB" w:rsidRPr="00835B18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, </w:t>
      </w:r>
      <w:r w:rsidRPr="00835B18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занимающих более </w:t>
      </w:r>
      <w:r w:rsidR="00536BA5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>50</w:t>
      </w:r>
      <w:r w:rsidRPr="00835B18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 процентов рынка кредитования субъектов малого и среднего предпринимательства.</w:t>
      </w:r>
    </w:p>
    <w:p w:rsidR="00C64D22" w:rsidRDefault="00C64D22" w:rsidP="003771F5">
      <w:pPr>
        <w:widowControl w:val="0"/>
        <w:suppressAutoHyphens w:val="0"/>
        <w:autoSpaceDE/>
        <w:spacing w:after="0" w:line="280" w:lineRule="exact"/>
        <w:ind w:left="709" w:firstLine="709"/>
        <w:jc w:val="both"/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</w:pPr>
      <w:r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>Предельная сумма поручительства Фонда составляет</w:t>
      </w:r>
      <w:r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br/>
        <w:t>200 тыс. рублей. Поручительством обеспечивается до 60 % суммы предоставляемого банком кредита. Ставка вознаграждения Фонда за предоставление поручительства – 1,25% в год</w:t>
      </w:r>
      <w:r w:rsidR="00F00E2B"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 xml:space="preserve"> </w:t>
      </w:r>
      <w:r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  <w:t>от его суммы.</w:t>
      </w:r>
    </w:p>
    <w:p w:rsidR="00536BA5" w:rsidRDefault="00536BA5" w:rsidP="003771F5">
      <w:pPr>
        <w:widowControl w:val="0"/>
        <w:suppressAutoHyphens w:val="0"/>
        <w:autoSpaceDE/>
        <w:spacing w:after="0" w:line="280" w:lineRule="exact"/>
        <w:ind w:left="709" w:firstLine="709"/>
        <w:jc w:val="both"/>
        <w:rPr>
          <w:rFonts w:ascii="Times New Roman" w:eastAsia="Tahoma" w:hAnsi="Times New Roman" w:cs="Times New Roman"/>
          <w:i/>
          <w:color w:val="000000" w:themeColor="text1"/>
          <w:sz w:val="30"/>
          <w:szCs w:val="30"/>
          <w:lang w:eastAsia="ru-RU" w:bidi="ru-RU"/>
        </w:rPr>
      </w:pPr>
    </w:p>
    <w:p w:rsidR="00536BA5" w:rsidRDefault="00A64C3F" w:rsidP="00536BA5">
      <w:pPr>
        <w:widowControl w:val="0"/>
        <w:suppressAutoHyphens w:val="0"/>
        <w:autoSpaceDE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  <w:r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Льготные </w:t>
      </w:r>
      <w:r w:rsidR="00536BA5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ставки вознаграждения будут применяться </w:t>
      </w:r>
      <w:r w:rsidR="00536BA5" w:rsidRPr="00F41F32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c</w:t>
      </w:r>
      <w:r w:rsidR="00C64D22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br/>
      </w:r>
      <w:r w:rsidR="00536BA5" w:rsidRPr="00A31072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1 октября 2021 </w:t>
      </w:r>
      <w:r w:rsidR="00536BA5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г., после их утверждения правлением Фонда, </w:t>
      </w:r>
      <w:r w:rsidR="00536BA5" w:rsidRPr="007E58B4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при обращении производителей – субъектов малого предпринимательства за предоставлением поручительств Фонда по банковским кредитам на цели приобретения технологического оборудования, необходимого для выпуска продукции более углубленной переработки древесины,</w:t>
      </w:r>
      <w:r w:rsidR="006A604E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br/>
        <w:t>со следующими значениями годовых процентных ставок от суммы поручительства</w:t>
      </w:r>
      <w:r w:rsidR="00536BA5" w:rsidRPr="007E58B4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:</w:t>
      </w:r>
    </w:p>
    <w:p w:rsidR="00F41F32" w:rsidRPr="007E58B4" w:rsidRDefault="00F41F32" w:rsidP="00F41F32">
      <w:pPr>
        <w:widowControl w:val="0"/>
        <w:suppressAutoHyphens w:val="0"/>
        <w:autoSpaceDE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7E58B4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lastRenderedPageBreak/>
        <w:t xml:space="preserve">в первый год действия поручительства для производства сухих пиломатериалов – 0,4 </w:t>
      </w:r>
      <w:r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процента, </w:t>
      </w:r>
      <w:r w:rsidRPr="007E58B4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строганных пиломатериалов</w:t>
      </w:r>
      <w:r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 </w:t>
      </w:r>
      <w:r w:rsidRPr="007E58B4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– 0,2</w:t>
      </w:r>
      <w:r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 процента, </w:t>
      </w:r>
      <w:r w:rsidRPr="007E58B4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клееной продукции</w:t>
      </w:r>
      <w:r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 – </w:t>
      </w:r>
      <w:r w:rsidRPr="007E58B4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0,1</w:t>
      </w:r>
      <w:r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 процента;</w:t>
      </w:r>
    </w:p>
    <w:p w:rsidR="00F41F32" w:rsidRPr="00F41F32" w:rsidRDefault="00F41F32" w:rsidP="00F41F32">
      <w:pPr>
        <w:widowControl w:val="0"/>
        <w:suppressAutoHyphens w:val="0"/>
        <w:autoSpaceDE/>
        <w:spacing w:after="0" w:line="240" w:lineRule="auto"/>
        <w:ind w:firstLine="708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  <w:r w:rsidRPr="00E7181F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во второй и последующие годы</w:t>
      </w:r>
      <w:r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 xml:space="preserve"> </w:t>
      </w:r>
      <w:r w:rsidRPr="00E7181F"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  <w:t>– 0,9 процента.</w:t>
      </w:r>
    </w:p>
    <w:p w:rsidR="00782517" w:rsidRDefault="00782517" w:rsidP="00782517">
      <w:pPr>
        <w:widowControl w:val="0"/>
        <w:suppressAutoHyphens w:val="0"/>
        <w:autoSpaceDE/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</w:p>
    <w:p w:rsidR="00782517" w:rsidRDefault="00782517" w:rsidP="00782517">
      <w:pPr>
        <w:widowControl w:val="0"/>
        <w:suppressAutoHyphens w:val="0"/>
        <w:autoSpaceDE/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</w:p>
    <w:p w:rsidR="00C64D22" w:rsidRDefault="00C64D22" w:rsidP="00782517">
      <w:pPr>
        <w:widowControl w:val="0"/>
        <w:suppressAutoHyphens w:val="0"/>
        <w:autoSpaceDE/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</w:p>
    <w:p w:rsidR="00782517" w:rsidRDefault="00782517" w:rsidP="00782517">
      <w:pPr>
        <w:widowControl w:val="0"/>
        <w:suppressAutoHyphens w:val="0"/>
        <w:autoSpaceDE/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</w:p>
    <w:p w:rsidR="00C64D22" w:rsidRDefault="00C64D22" w:rsidP="00782517">
      <w:pPr>
        <w:widowControl w:val="0"/>
        <w:suppressAutoHyphens w:val="0"/>
        <w:autoSpaceDE/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</w:p>
    <w:p w:rsidR="00C64D22" w:rsidRDefault="00C64D22" w:rsidP="00782517">
      <w:pPr>
        <w:widowControl w:val="0"/>
        <w:suppressAutoHyphens w:val="0"/>
        <w:autoSpaceDE/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</w:p>
    <w:p w:rsidR="00C64D22" w:rsidRDefault="00C64D22" w:rsidP="00782517">
      <w:pPr>
        <w:widowControl w:val="0"/>
        <w:suppressAutoHyphens w:val="0"/>
        <w:autoSpaceDE/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</w:p>
    <w:p w:rsidR="00C64D22" w:rsidRDefault="00C64D22" w:rsidP="00782517">
      <w:pPr>
        <w:widowControl w:val="0"/>
        <w:suppressAutoHyphens w:val="0"/>
        <w:autoSpaceDE/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</w:p>
    <w:p w:rsidR="00C64D22" w:rsidRDefault="00C64D22" w:rsidP="00782517">
      <w:pPr>
        <w:widowControl w:val="0"/>
        <w:suppressAutoHyphens w:val="0"/>
        <w:autoSpaceDE/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</w:p>
    <w:p w:rsidR="00C64D22" w:rsidRDefault="00C64D22" w:rsidP="00782517">
      <w:pPr>
        <w:widowControl w:val="0"/>
        <w:suppressAutoHyphens w:val="0"/>
        <w:autoSpaceDE/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</w:p>
    <w:p w:rsidR="00C64D22" w:rsidRDefault="00C64D22" w:rsidP="00782517">
      <w:pPr>
        <w:widowControl w:val="0"/>
        <w:suppressAutoHyphens w:val="0"/>
        <w:autoSpaceDE/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</w:p>
    <w:p w:rsidR="00C64D22" w:rsidRDefault="00C64D22" w:rsidP="00782517">
      <w:pPr>
        <w:widowControl w:val="0"/>
        <w:suppressAutoHyphens w:val="0"/>
        <w:autoSpaceDE/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</w:p>
    <w:p w:rsidR="00C64D22" w:rsidRDefault="00C64D22" w:rsidP="00782517">
      <w:pPr>
        <w:widowControl w:val="0"/>
        <w:suppressAutoHyphens w:val="0"/>
        <w:autoSpaceDE/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</w:p>
    <w:p w:rsidR="00C64D22" w:rsidRDefault="00C64D22" w:rsidP="00782517">
      <w:pPr>
        <w:widowControl w:val="0"/>
        <w:suppressAutoHyphens w:val="0"/>
        <w:autoSpaceDE/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</w:p>
    <w:p w:rsidR="00C64D22" w:rsidRDefault="00C64D22" w:rsidP="00782517">
      <w:pPr>
        <w:widowControl w:val="0"/>
        <w:suppressAutoHyphens w:val="0"/>
        <w:autoSpaceDE/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</w:p>
    <w:p w:rsidR="00C64D22" w:rsidRDefault="00C64D22" w:rsidP="00782517">
      <w:pPr>
        <w:widowControl w:val="0"/>
        <w:suppressAutoHyphens w:val="0"/>
        <w:autoSpaceDE/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</w:p>
    <w:p w:rsidR="00C64D22" w:rsidRDefault="00C64D22" w:rsidP="00782517">
      <w:pPr>
        <w:widowControl w:val="0"/>
        <w:suppressAutoHyphens w:val="0"/>
        <w:autoSpaceDE/>
        <w:spacing w:after="0" w:line="240" w:lineRule="auto"/>
        <w:jc w:val="both"/>
        <w:rPr>
          <w:rFonts w:ascii="Times New Roman" w:eastAsia="Tahoma" w:hAnsi="Times New Roman" w:cs="Times New Roman"/>
          <w:color w:val="000000" w:themeColor="text1"/>
          <w:sz w:val="30"/>
          <w:szCs w:val="30"/>
          <w:lang w:eastAsia="ru-RU" w:bidi="ru-RU"/>
        </w:rPr>
      </w:pPr>
    </w:p>
    <w:sectPr w:rsidR="00C64D22" w:rsidSect="00A64C3F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chnical;Courier New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460DF"/>
    <w:multiLevelType w:val="multilevel"/>
    <w:tmpl w:val="43BE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3D1"/>
    <w:rsid w:val="00200F85"/>
    <w:rsid w:val="002B3CF3"/>
    <w:rsid w:val="0033622C"/>
    <w:rsid w:val="003771F5"/>
    <w:rsid w:val="004358A3"/>
    <w:rsid w:val="004D2553"/>
    <w:rsid w:val="00536BA5"/>
    <w:rsid w:val="005D70E8"/>
    <w:rsid w:val="006A604E"/>
    <w:rsid w:val="00782517"/>
    <w:rsid w:val="007C7AB2"/>
    <w:rsid w:val="00835B18"/>
    <w:rsid w:val="008531CD"/>
    <w:rsid w:val="008B3114"/>
    <w:rsid w:val="009E52E6"/>
    <w:rsid w:val="00A64C3F"/>
    <w:rsid w:val="00C64D22"/>
    <w:rsid w:val="00E453D1"/>
    <w:rsid w:val="00F00E2B"/>
    <w:rsid w:val="00F41F32"/>
    <w:rsid w:val="00F67EAB"/>
    <w:rsid w:val="00FC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D1"/>
    <w:pPr>
      <w:suppressAutoHyphens/>
      <w:autoSpaceDE w:val="0"/>
      <w:spacing w:after="200" w:line="276" w:lineRule="auto"/>
    </w:pPr>
    <w:rPr>
      <w:rFonts w:ascii="Technical;Courier New" w:eastAsia="Times New Roman" w:hAnsi="Technical;Courier New" w:cs="Technical;Courier New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45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45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8A3"/>
    <w:rPr>
      <w:rFonts w:ascii="Segoe UI" w:eastAsia="Times New Roman" w:hAnsi="Segoe UI" w:cs="Segoe UI"/>
      <w:sz w:val="18"/>
      <w:szCs w:val="18"/>
      <w:lang w:eastAsia="zh-CN"/>
    </w:rPr>
  </w:style>
  <w:style w:type="character" w:styleId="a6">
    <w:name w:val="Hyperlink"/>
    <w:basedOn w:val="a0"/>
    <w:uiPriority w:val="99"/>
    <w:semiHidden/>
    <w:unhideWhenUsed/>
    <w:rsid w:val="003771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3D1"/>
    <w:pPr>
      <w:suppressAutoHyphens/>
      <w:autoSpaceDE w:val="0"/>
      <w:spacing w:after="200" w:line="276" w:lineRule="auto"/>
    </w:pPr>
    <w:rPr>
      <w:rFonts w:ascii="Technical;Courier New" w:eastAsia="Times New Roman" w:hAnsi="Technical;Courier New" w:cs="Technical;Courier New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45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453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5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58A3"/>
    <w:rPr>
      <w:rFonts w:ascii="Segoe UI" w:eastAsia="Times New Roman" w:hAnsi="Segoe UI" w:cs="Segoe UI"/>
      <w:sz w:val="18"/>
      <w:szCs w:val="18"/>
      <w:lang w:eastAsia="zh-CN"/>
    </w:rPr>
  </w:style>
  <w:style w:type="character" w:styleId="a6">
    <w:name w:val="Hyperlink"/>
    <w:basedOn w:val="a0"/>
    <w:uiPriority w:val="99"/>
    <w:semiHidden/>
    <w:unhideWhenUsed/>
    <w:rsid w:val="003771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2021-08-30T14:56:00Z</cp:lastPrinted>
  <dcterms:created xsi:type="dcterms:W3CDTF">2021-09-13T13:20:00Z</dcterms:created>
  <dcterms:modified xsi:type="dcterms:W3CDTF">2021-09-13T13:20:00Z</dcterms:modified>
</cp:coreProperties>
</file>