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CE9D" w14:textId="6127ADB7" w:rsidR="00FE4929" w:rsidRDefault="00000000" w:rsidP="00B076E9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9.3.2. Выдача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разрешительной документации на реконструкцию жилых и (или) нежилых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помещений в многоквартирных, блокированных жилых домах, блокированных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и одноквартирных жилых домов, нежилых капитальных построек на придомовой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территории, а также капитальных строений (зданий, сооружений), незавершенных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законсервированных капитальных строений пятого класса сложности (за исключением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садовых домиков, дач, хозяйственных строений и сооружений на земельных участках,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предоставленных для коллективного садоводства, дачного строительства)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)</w:t>
      </w:r>
    </w:p>
    <w:p w14:paraId="155B529A" w14:textId="77777777" w:rsidR="00FE492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6B7C9132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4DB0E4C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C03914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35A61F9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D6D5FA7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7FB847A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7160AFF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B0A7D6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B23965B" w14:textId="77777777" w:rsidR="00FE4929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00C51CD" w14:textId="3E0A69C0" w:rsidR="00B076E9" w:rsidRPr="00B076E9" w:rsidRDefault="00B076E9" w:rsidP="00A243B6">
      <w:pPr>
        <w:numPr>
          <w:ilvl w:val="0"/>
          <w:numId w:val="2"/>
        </w:numPr>
        <w:spacing w:before="120" w:after="120"/>
        <w:ind w:left="-284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B076E9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2C5FF0B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4C409FC2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(копия технического паспорта при осуществлении реконструкции арендатором)</w:t>
      </w:r>
    </w:p>
    <w:p w14:paraId="680861C2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договор, судебное постановление, иной документ, подтверждающий принадлежность помещения на праве собственности или ином законном основании (в случае, если помещение не зарегистрировано в едином государственном регистре недвижимого имущества, прав на него и сделок с ним)</w:t>
      </w:r>
    </w:p>
    <w:p w14:paraId="73B74A1D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согласие собственника на реконструкцию помещения (если помещение предоставлено по договору аренды, безвозмездного пользования)</w:t>
      </w:r>
    </w:p>
    <w:p w14:paraId="66D78D68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согласие всех участников общей долевой собственности на жилые и (или) нежилые помещения в многоквартирных, блокированных жилых домах, блокированные и одноквартирные жилые дома, нежилые капитальные постройки на придомовой территории, а также на капитальные строения (здания, сооружения), незавершенные законсервированные капитальные строения пятого класса сложности, </w:t>
      </w: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реконструкция которых инициируется, или документ, подтверждающий право заинтересованного лица на проведение реконструкции без согласия таких лиц, – в случае, если помещения, дома, постройки находятся в общей долевой собственности двух или более лиц</w:t>
      </w:r>
    </w:p>
    <w:p w14:paraId="4599A748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описание работ и планов по 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</w:r>
    </w:p>
    <w:p w14:paraId="50A3FC14" w14:textId="1A1F5AEF" w:rsidR="00B076E9" w:rsidRPr="00B076E9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разрешение на выполнение научно-исследовательских и проектных работ на материальных историко-культурных ценностях (в случае выполнения работ на материальных недвижимых историко-культурных ценностях)</w:t>
      </w:r>
    </w:p>
    <w:p w14:paraId="148A9AEE" w14:textId="7AA96C13" w:rsidR="00FE4929" w:rsidRDefault="00000000" w:rsidP="00B076E9">
      <w:pPr>
        <w:spacing w:before="12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46657BB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5406E6A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B3D1BE6" w14:textId="53B2D5E2" w:rsidR="00C91C0A" w:rsidRPr="00C91C0A" w:rsidRDefault="00C91C0A" w:rsidP="00C91C0A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91C0A">
        <w:rPr>
          <w:rFonts w:ascii="Arial" w:eastAsia="Times New Roman" w:hAnsi="Arial" w:cs="Arial"/>
          <w:b/>
          <w:sz w:val="28"/>
          <w:szCs w:val="28"/>
          <w:lang w:val="be-BY" w:eastAsia="x-none"/>
        </w:rPr>
        <w:t>информация о существующих в момент выдачи правах, ограничениях (обременениях) прав на капитальное строение (здание, сооружение), изолированное помещение, незавершенное законсервированное капитальное строение и земельный участок, на котором расположены данные объекты</w:t>
      </w:r>
    </w:p>
    <w:p w14:paraId="54054DD7" w14:textId="77777777" w:rsidR="00C91C0A" w:rsidRPr="00C91C0A" w:rsidRDefault="00C91C0A" w:rsidP="00C91C0A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91C0A">
        <w:rPr>
          <w:rFonts w:ascii="Arial" w:eastAsia="Times New Roman" w:hAnsi="Arial" w:cs="Arial"/>
          <w:b/>
          <w:sz w:val="28"/>
          <w:szCs w:val="28"/>
          <w:lang w:val="be-BY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00F624A3" w14:textId="77777777" w:rsidR="00C91C0A" w:rsidRPr="00C91C0A" w:rsidRDefault="00C91C0A" w:rsidP="00C91C0A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be-BY" w:eastAsia="x-none"/>
        </w:rPr>
      </w:pPr>
      <w:r w:rsidRPr="00C91C0A">
        <w:rPr>
          <w:rFonts w:ascii="Arial" w:eastAsia="Times New Roman" w:hAnsi="Arial" w:cs="Arial"/>
          <w:b/>
          <w:sz w:val="28"/>
          <w:szCs w:val="28"/>
          <w:lang w:val="be-BY" w:eastAsia="x-none"/>
        </w:rPr>
        <w:t>технические условия (при подключении к объектам инженерной инфраструктуры или изменении их параметров)</w:t>
      </w:r>
    </w:p>
    <w:p w14:paraId="6ABF13C5" w14:textId="77777777" w:rsidR="00C91C0A" w:rsidRDefault="00C91C0A" w:rsidP="00C91C0A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61736489" w14:textId="5F6CC499" w:rsidR="00FE4929" w:rsidRDefault="00000000" w:rsidP="00C91C0A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2E4C69F" w14:textId="77777777" w:rsidR="00FE492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3DA475FD" w14:textId="77777777" w:rsidR="00FE492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бессрочно </w:t>
      </w:r>
    </w:p>
    <w:p w14:paraId="694F3589" w14:textId="77777777" w:rsidR="0046543D" w:rsidRDefault="0046543D">
      <w:pPr>
        <w:rPr>
          <w:lang w:val="x-none"/>
        </w:rPr>
      </w:pPr>
    </w:p>
    <w:sectPr w:rsidR="0046543D" w:rsidSect="00732FE9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4BE8"/>
    <w:multiLevelType w:val="hybridMultilevel"/>
    <w:tmpl w:val="E32003B0"/>
    <w:lvl w:ilvl="0" w:tplc="EAA8D4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2258">
    <w:abstractNumId w:val="0"/>
  </w:num>
  <w:num w:numId="2" w16cid:durableId="1281958992">
    <w:abstractNumId w:val="0"/>
  </w:num>
  <w:num w:numId="3" w16cid:durableId="171265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F"/>
    <w:rsid w:val="0046543D"/>
    <w:rsid w:val="005723DF"/>
    <w:rsid w:val="00732FE9"/>
    <w:rsid w:val="00814B6E"/>
    <w:rsid w:val="00A243B6"/>
    <w:rsid w:val="00B076E9"/>
    <w:rsid w:val="00BB384B"/>
    <w:rsid w:val="00C91C0A"/>
    <w:rsid w:val="00D37686"/>
    <w:rsid w:val="00F8544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BFA3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73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631</Words>
  <Characters>3600</Characters>
  <Application>Microsoft Office Word</Application>
  <DocSecurity>0</DocSecurity>
  <Lines>30</Lines>
  <Paragraphs>8</Paragraphs>
  <ScaleCrop>false</ScaleCrop>
  <Company>All Belarus 2009 DVD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2026-02-13T08:54:00Z</cp:lastPrinted>
  <dcterms:created xsi:type="dcterms:W3CDTF">2024-03-29T09:40:00Z</dcterms:created>
  <dcterms:modified xsi:type="dcterms:W3CDTF">2026-02-13T08:55:00Z</dcterms:modified>
</cp:coreProperties>
</file>