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4304" w14:textId="77777777" w:rsidR="00651659" w:rsidRDefault="00EC049D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03D9C99F" w14:textId="77777777" w:rsidR="00651659" w:rsidRDefault="00EC049D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55189215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AA907BF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19AF53E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BF109C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CECF647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9B0F82F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2DD640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A81316A" w14:textId="77777777" w:rsidR="00651659" w:rsidRDefault="00EC049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lastRenderedPageBreak/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9517305" w14:textId="77777777" w:rsidR="00651659" w:rsidRDefault="00EC049D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04B6538C" w14:textId="63C16DC2" w:rsidR="00651659" w:rsidRDefault="00EC049D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Hyperlink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61AFD555" w14:textId="77777777" w:rsidR="00651659" w:rsidRDefault="00EC049D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19815EA" w14:textId="77777777" w:rsidR="00651659" w:rsidRDefault="00EC049D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28D8B66" w14:textId="77777777" w:rsidR="00651659" w:rsidRDefault="00EC049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</w:t>
      </w:r>
      <w:r>
        <w:rPr>
          <w:rFonts w:ascii="Arial" w:hAnsi="Arial" w:cs="Arial"/>
          <w:b/>
          <w:i/>
          <w:color w:val="FF0000"/>
          <w:sz w:val="28"/>
          <w:szCs w:val="28"/>
        </w:rPr>
        <w:t>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</w:t>
      </w:r>
      <w:r>
        <w:rPr>
          <w:rFonts w:ascii="Arial" w:hAnsi="Arial" w:cs="Arial"/>
          <w:b/>
          <w:i/>
          <w:color w:val="FF0000"/>
          <w:sz w:val="28"/>
          <w:szCs w:val="28"/>
        </w:rPr>
        <w:t>деляются законодательством об административных процедурах и ЗАПРАШИВАЮТСЯ УПОЛНОМОЧЕННЫМ ОРГАНОМ САМОСТОЯТЕЛЬНО.</w:t>
      </w:r>
    </w:p>
    <w:p w14:paraId="7B299647" w14:textId="77777777" w:rsidR="00651659" w:rsidRDefault="00EC049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EE82176" w14:textId="13CBA2F3" w:rsidR="00CB6316" w:rsidRPr="00CB6316" w:rsidRDefault="00CB6316" w:rsidP="00CB6316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B6316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информация о существующих в момент выдачи информации правах, ограничениях (обременениях) прав на земельный участок</w:t>
      </w:r>
    </w:p>
    <w:p w14:paraId="44439DB2" w14:textId="77777777" w:rsidR="00651659" w:rsidRDefault="00EC049D" w:rsidP="00CB631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1059D83" w14:textId="77777777" w:rsidR="00651659" w:rsidRDefault="00EC049D" w:rsidP="00CB6316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7F78A159" w14:textId="14B4C9AE" w:rsidR="00AC1EE1" w:rsidRDefault="00EC049D" w:rsidP="00CB6316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AC1EE1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24"/>
    <w:rsid w:val="004B5EA0"/>
    <w:rsid w:val="00651659"/>
    <w:rsid w:val="00951D24"/>
    <w:rsid w:val="00AC1EE1"/>
    <w:rsid w:val="00CB6316"/>
    <w:rsid w:val="00E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1F9C7"/>
  <w15:chartTrackingRefBased/>
  <w15:docId w15:val="{4EE8548B-EEFA-465E-B5FB-7AA8E3DB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22.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4</DocSecurity>
  <Lines>14</Lines>
  <Paragraphs>4</Paragraphs>
  <ScaleCrop>false</ScaleCrop>
  <Company>All Belarus 2009 DVD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2024-09-11T07:32:00Z</cp:lastPrinted>
  <dcterms:created xsi:type="dcterms:W3CDTF">2024-09-11T10:07:00Z</dcterms:created>
  <dcterms:modified xsi:type="dcterms:W3CDTF">2024-09-11T10:07:00Z</dcterms:modified>
</cp:coreProperties>
</file>