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1600" w:type="dxa"/>
        <w:tblCellMar>
          <w:left w:w="0" w:type="dxa"/>
          <w:right w:w="0" w:type="dxa"/>
        </w:tblCellMar>
        <w:tblLook w:val="04A0" w:firstRow="1" w:lastRow="0" w:firstColumn="1" w:lastColumn="0" w:noHBand="0" w:noVBand="1"/>
      </w:tblPr>
      <w:tblGrid>
        <w:gridCol w:w="21600"/>
      </w:tblGrid>
      <w:tr w:rsidR="00EB633D" w:rsidRPr="00EB633D" w14:paraId="3AE8C07F" w14:textId="77777777" w:rsidTr="00EB633D">
        <w:tc>
          <w:tcPr>
            <w:tcW w:w="21600" w:type="dxa"/>
            <w:tcMar>
              <w:top w:w="0" w:type="dxa"/>
              <w:left w:w="6" w:type="dxa"/>
              <w:bottom w:w="0" w:type="dxa"/>
              <w:right w:w="6" w:type="dxa"/>
            </w:tcMar>
            <w:hideMark/>
          </w:tcPr>
          <w:p w14:paraId="3CC92A0E" w14:textId="77777777" w:rsidR="00EB633D" w:rsidRPr="00EB633D" w:rsidRDefault="00EB633D" w:rsidP="00EB633D">
            <w:pPr>
              <w:spacing w:after="120" w:line="240" w:lineRule="auto"/>
              <w:ind w:left="6946"/>
              <w:rPr>
                <w:rFonts w:ascii="Times New Roman" w:eastAsia="Times New Roman" w:hAnsi="Times New Roman" w:cs="Times New Roman"/>
                <w:kern w:val="0"/>
                <w:lang w:eastAsia="ru-RU"/>
                <w14:ligatures w14:val="none"/>
              </w:rPr>
            </w:pPr>
            <w:r w:rsidRPr="00EB633D">
              <w:rPr>
                <w:rFonts w:ascii="Times New Roman" w:eastAsia="Times New Roman" w:hAnsi="Times New Roman" w:cs="Times New Roman"/>
                <w:kern w:val="0"/>
                <w:lang w:eastAsia="ru-RU"/>
                <w14:ligatures w14:val="none"/>
              </w:rPr>
              <w:t>УТВЕРЖДЕНО</w:t>
            </w:r>
          </w:p>
          <w:p w14:paraId="0C5F3108" w14:textId="77777777" w:rsidR="00EB633D" w:rsidRPr="00EB633D" w:rsidRDefault="00EB633D" w:rsidP="00EB633D">
            <w:pPr>
              <w:spacing w:after="0" w:line="240" w:lineRule="auto"/>
              <w:ind w:left="6946"/>
              <w:rPr>
                <w:rFonts w:ascii="Times New Roman" w:eastAsia="Times New Roman" w:hAnsi="Times New Roman" w:cs="Times New Roman"/>
                <w:kern w:val="0"/>
                <w:lang w:eastAsia="ru-RU"/>
                <w14:ligatures w14:val="none"/>
              </w:rPr>
            </w:pPr>
            <w:r w:rsidRPr="00EB633D">
              <w:rPr>
                <w:rFonts w:ascii="Times New Roman" w:eastAsia="Times New Roman" w:hAnsi="Times New Roman" w:cs="Times New Roman"/>
                <w:kern w:val="0"/>
                <w:lang w:eastAsia="ru-RU"/>
                <w14:ligatures w14:val="none"/>
              </w:rPr>
              <w:t>Постановление</w:t>
            </w:r>
            <w:r w:rsidRPr="00EB633D">
              <w:rPr>
                <w:rFonts w:ascii="Times New Roman" w:eastAsia="Times New Roman" w:hAnsi="Times New Roman" w:cs="Times New Roman"/>
                <w:kern w:val="0"/>
                <w:lang w:eastAsia="ru-RU"/>
                <w14:ligatures w14:val="none"/>
              </w:rPr>
              <w:br/>
              <w:t>Министерства антимонопольного</w:t>
            </w:r>
            <w:r w:rsidRPr="00EB633D">
              <w:rPr>
                <w:rFonts w:ascii="Times New Roman" w:eastAsia="Times New Roman" w:hAnsi="Times New Roman" w:cs="Times New Roman"/>
                <w:kern w:val="0"/>
                <w:lang w:eastAsia="ru-RU"/>
                <w14:ligatures w14:val="none"/>
              </w:rPr>
              <w:br/>
              <w:t>регулирования и торговли</w:t>
            </w:r>
            <w:r w:rsidRPr="00EB633D">
              <w:rPr>
                <w:rFonts w:ascii="Times New Roman" w:eastAsia="Times New Roman" w:hAnsi="Times New Roman" w:cs="Times New Roman"/>
                <w:kern w:val="0"/>
                <w:lang w:eastAsia="ru-RU"/>
                <w14:ligatures w14:val="none"/>
              </w:rPr>
              <w:br/>
              <w:t>Республики Беларусь</w:t>
            </w:r>
            <w:r w:rsidRPr="00EB633D">
              <w:rPr>
                <w:rFonts w:ascii="Times New Roman" w:eastAsia="Times New Roman" w:hAnsi="Times New Roman" w:cs="Times New Roman"/>
                <w:kern w:val="0"/>
                <w:lang w:eastAsia="ru-RU"/>
                <w14:ligatures w14:val="none"/>
              </w:rPr>
              <w:br/>
              <w:t>22.03.2022 № 23</w:t>
            </w:r>
          </w:p>
        </w:tc>
      </w:tr>
    </w:tbl>
    <w:p w14:paraId="0E2D91A5" w14:textId="77777777" w:rsidR="00EB633D" w:rsidRPr="00EB633D" w:rsidRDefault="00EB633D" w:rsidP="00EB633D">
      <w:pPr>
        <w:spacing w:after="0" w:line="240" w:lineRule="auto"/>
        <w:rPr>
          <w:rFonts w:ascii="Times New Roman" w:eastAsia="Times New Roman" w:hAnsi="Times New Roman" w:cs="Times New Roman"/>
          <w:b/>
          <w:bCs/>
          <w:color w:val="000000"/>
          <w:kern w:val="0"/>
          <w:sz w:val="24"/>
          <w:szCs w:val="24"/>
          <w:lang w:eastAsia="ru-RU"/>
          <w14:ligatures w14:val="none"/>
        </w:rPr>
      </w:pPr>
      <w:r w:rsidRPr="00EB633D">
        <w:rPr>
          <w:rFonts w:ascii="Times New Roman" w:eastAsia="Times New Roman" w:hAnsi="Times New Roman" w:cs="Times New Roman"/>
          <w:b/>
          <w:bCs/>
          <w:color w:val="000000"/>
          <w:kern w:val="0"/>
          <w:sz w:val="24"/>
          <w:szCs w:val="24"/>
          <w:lang w:eastAsia="ru-RU"/>
          <w14:ligatures w14:val="none"/>
        </w:rPr>
        <w:t>РЕГЛАМЕНТ</w:t>
      </w:r>
      <w:r w:rsidRPr="00EB633D">
        <w:rPr>
          <w:rFonts w:ascii="Times New Roman" w:eastAsia="Times New Roman" w:hAnsi="Times New Roman" w:cs="Times New Roman"/>
          <w:b/>
          <w:bCs/>
          <w:color w:val="000000"/>
          <w:kern w:val="0"/>
          <w:sz w:val="24"/>
          <w:szCs w:val="24"/>
          <w:lang w:eastAsia="ru-RU"/>
          <w14:ligatures w14:val="none"/>
        </w:rPr>
        <w:br/>
        <w:t>административной процедуры, осуществляемой в отношении субъектов хозяйствования, по подпункту 8.13.3 «Переоформление разрешения на размещение средства наружной рекламы»</w:t>
      </w:r>
    </w:p>
    <w:p w14:paraId="053921B0"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1. Особенности осуществления административной процедуры:</w:t>
      </w:r>
    </w:p>
    <w:p w14:paraId="7BCE1FFF"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1.1. наименование уполномоченного органа (подведомственность административной процедуры) – Минский городской, городской (города областного подчинения), районный исполнительный комитет, а при размещении средства наружной рекламы на территории Китайско-Белорусского индустриального парка «Великий камень»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(далее – территория индустриального парка) – государственное учреждение «Администрация Китайско-Белорусского индустриального парка «Великий камень»;</w:t>
      </w:r>
    </w:p>
    <w:p w14:paraId="2DAE6948"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1.2. наименование государственного органа, иной организации, осуществляющих прием, подготовку к рассмотрению заявлений заинтересованных лиц и (или) выдачу административных решений, принятие административных решений об отказе в принятии заявлений заинтересованных лиц:</w:t>
      </w:r>
    </w:p>
    <w:p w14:paraId="1709BB83"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служба «одно окно»;</w:t>
      </w:r>
    </w:p>
    <w:p w14:paraId="6B6B4796"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на территории Брестской области – коммунальное унитарное предприятие по оказанию услуг «Барановичская административно-техническая инспекция» (г. Барановичи), коммунальное унитарное предприятие по оказанию услуг «Брестская административно-техническая инспекция» (г. Брест), коммунальное унитарное многоотраслевое производственное предприятие жилищно-коммунального хозяйства «Барановичское районное ЖКХ» (Барановичский район), коммунальное унитарное проектно-производственное архитектурно-планировочное предприятие «Архбюро Брестского района» (Брестский район), коммунальное унитарное многоотраслевое производственное предприятие жилищно-коммунального хозяйства «Ганцевичское РЖКХ» (Ганцевичский район), коммунальное унитарное многоотраслевое производственное предприятие жилищно-коммунального хозяйства «Дрогичинское ЖКХ» (Дрогичинский район), коммунальное унитарное проектно-производственное архитектурно-планировочное предприятие «Жабинковская архитектура» (Жабинковский район), коммунальное унитарное многоотраслевое производственное предприятие жилищно-коммунального хозяйства «Ивановское ЖКХ» (Ивановский район), государственное унитарное производственное предприятие «Ивацевичское ЖКХ» (Ивацевичский район), коммунальное унитарное многоотраслевое производственное предприятие жилищно-коммунального хозяйства «Кобринское ЖКХ» (Кобринский район), коммунальное унитарное проектно-производственное архитектурно-планировочное предприятие «Лунинецкая архитектура» (Лунинецкий район), коммунальное унитарное проектно-производственное архитектурно-планировочное предприятие «Ляховичская архитектура» (Ляховичский район), коммунальное унитарное многоотраслевое производственное предприятие жилищно-коммунального хозяйства «Малоритское ЖКХ» (Малоритский район), Пружанское коммунальное унитарное производственное предприятие «Коммунальник» (Пружанский район), Столинское коммунальное унитарное проектно-производственное архитектурно-планировочное предприятие «Архбюро» (Столинский район);</w:t>
      </w:r>
    </w:p>
    <w:p w14:paraId="0DA62BC6"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на территории Витебской области – коммунальное производственное унитарное предприятие «</w:t>
      </w:r>
      <w:proofErr w:type="spellStart"/>
      <w:r w:rsidRPr="00EB633D">
        <w:rPr>
          <w:rFonts w:ascii="Times New Roman" w:eastAsia="Times New Roman" w:hAnsi="Times New Roman" w:cs="Times New Roman"/>
          <w:color w:val="000000"/>
          <w:kern w:val="0"/>
          <w:sz w:val="24"/>
          <w:szCs w:val="24"/>
          <w:lang w:eastAsia="ru-RU"/>
          <w14:ligatures w14:val="none"/>
        </w:rPr>
        <w:t>Витебскреклама</w:t>
      </w:r>
      <w:proofErr w:type="spellEnd"/>
      <w:r w:rsidRPr="00EB633D">
        <w:rPr>
          <w:rFonts w:ascii="Times New Roman" w:eastAsia="Times New Roman" w:hAnsi="Times New Roman" w:cs="Times New Roman"/>
          <w:color w:val="000000"/>
          <w:kern w:val="0"/>
          <w:sz w:val="24"/>
          <w:szCs w:val="24"/>
          <w:lang w:eastAsia="ru-RU"/>
          <w14:ligatures w14:val="none"/>
        </w:rPr>
        <w:t xml:space="preserve">» (г. Витебск), Новополоцкое коммунальное унитарное предприятие «Архитектурно-производственное бюро» (г. Новополоцк), коммунальное унитарное предприятие «Глубокское проектно-производственное архитектурно-планировочное бюро» (Глубокский район), коммунальное унитарное предприятие «Бешенковичское районное архитектурно-проектное бюро» (Бешенковичский район), коммунальное унитарное предприятие «Проектно-производственное архитектурно-планировочное бюро Докшицкого района» (Докшицкий район), коммунальное унитарное предприятие проектно-архитектурное бюро г. Лепеля и района (Лепельский район), коммунальное </w:t>
      </w:r>
      <w:r w:rsidRPr="00EB633D">
        <w:rPr>
          <w:rFonts w:ascii="Times New Roman" w:eastAsia="Times New Roman" w:hAnsi="Times New Roman" w:cs="Times New Roman"/>
          <w:color w:val="000000"/>
          <w:kern w:val="0"/>
          <w:sz w:val="24"/>
          <w:szCs w:val="24"/>
          <w:lang w:eastAsia="ru-RU"/>
          <w14:ligatures w14:val="none"/>
        </w:rPr>
        <w:lastRenderedPageBreak/>
        <w:t>унитарное предприятие проектно-производственное архитектурно-планировочное бюро при Миорском райисполкоме (Миорский район), коммунальное унитарное архитектурно-землеустроительное предприятие «</w:t>
      </w:r>
      <w:proofErr w:type="spellStart"/>
      <w:r w:rsidRPr="00EB633D">
        <w:rPr>
          <w:rFonts w:ascii="Times New Roman" w:eastAsia="Times New Roman" w:hAnsi="Times New Roman" w:cs="Times New Roman"/>
          <w:color w:val="000000"/>
          <w:kern w:val="0"/>
          <w:sz w:val="24"/>
          <w:szCs w:val="24"/>
          <w:lang w:eastAsia="ru-RU"/>
          <w14:ligatures w14:val="none"/>
        </w:rPr>
        <w:t>АрхГео</w:t>
      </w:r>
      <w:proofErr w:type="spellEnd"/>
      <w:r w:rsidRPr="00EB633D">
        <w:rPr>
          <w:rFonts w:ascii="Times New Roman" w:eastAsia="Times New Roman" w:hAnsi="Times New Roman" w:cs="Times New Roman"/>
          <w:color w:val="000000"/>
          <w:kern w:val="0"/>
          <w:sz w:val="24"/>
          <w:szCs w:val="24"/>
          <w:lang w:eastAsia="ru-RU"/>
          <w14:ligatures w14:val="none"/>
        </w:rPr>
        <w:t>» (Оршанский район), унитарное коммунальное консультационное предприятие города Полоцка «Центр поддержки предпринимательства» (Полоцкий район), коммунальное унитарное предприятие «Проектно-производственное архитектурно-планировочное бюро при Поставском райисполкоме» (Поставский район), коммунальное унитарное предприятие проектно-производственное архитектурно-планировочное бюро при Ушачском райисполкоме (Ушачский район);</w:t>
      </w:r>
    </w:p>
    <w:p w14:paraId="3AE9FC29"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на территории Гомельской области – коммунальное унитарное предприятие «Брагинское» (Брагинский район), коммунальное унитарное предприятие по оказанию услуг «Региональное инвестиционное агентство «</w:t>
      </w:r>
      <w:proofErr w:type="spellStart"/>
      <w:r w:rsidRPr="00EB633D">
        <w:rPr>
          <w:rFonts w:ascii="Times New Roman" w:eastAsia="Times New Roman" w:hAnsi="Times New Roman" w:cs="Times New Roman"/>
          <w:color w:val="000000"/>
          <w:kern w:val="0"/>
          <w:sz w:val="24"/>
          <w:szCs w:val="24"/>
          <w:lang w:eastAsia="ru-RU"/>
          <w14:ligatures w14:val="none"/>
        </w:rPr>
        <w:t>ГомельИнвест</w:t>
      </w:r>
      <w:proofErr w:type="spellEnd"/>
      <w:r w:rsidRPr="00EB633D">
        <w:rPr>
          <w:rFonts w:ascii="Times New Roman" w:eastAsia="Times New Roman" w:hAnsi="Times New Roman" w:cs="Times New Roman"/>
          <w:color w:val="000000"/>
          <w:kern w:val="0"/>
          <w:sz w:val="24"/>
          <w:szCs w:val="24"/>
          <w:lang w:eastAsia="ru-RU"/>
          <w14:ligatures w14:val="none"/>
        </w:rPr>
        <w:t>» (Гомельский район), коммунальное унитарное предприятие «Архитектура Добруш» (Добрушский район), коммунальное жилищно-эксплуатационное унитарное предприятие «Ельское» (Ельский район), коммунальное архитектурно-планировочное унитарное предприятие «</w:t>
      </w:r>
      <w:proofErr w:type="spellStart"/>
      <w:r w:rsidRPr="00EB633D">
        <w:rPr>
          <w:rFonts w:ascii="Times New Roman" w:eastAsia="Times New Roman" w:hAnsi="Times New Roman" w:cs="Times New Roman"/>
          <w:color w:val="000000"/>
          <w:kern w:val="0"/>
          <w:sz w:val="24"/>
          <w:szCs w:val="24"/>
          <w:lang w:eastAsia="ru-RU"/>
          <w14:ligatures w14:val="none"/>
        </w:rPr>
        <w:t>Житковичипроект</w:t>
      </w:r>
      <w:proofErr w:type="spellEnd"/>
      <w:r w:rsidRPr="00EB633D">
        <w:rPr>
          <w:rFonts w:ascii="Times New Roman" w:eastAsia="Times New Roman" w:hAnsi="Times New Roman" w:cs="Times New Roman"/>
          <w:color w:val="000000"/>
          <w:kern w:val="0"/>
          <w:sz w:val="24"/>
          <w:szCs w:val="24"/>
          <w:lang w:eastAsia="ru-RU"/>
          <w14:ligatures w14:val="none"/>
        </w:rPr>
        <w:t xml:space="preserve">» (Житковичский район), коммунальное унитарное предприятие «Архитектурно-планировочное проектно-производственное бюро Жлобинского райисполкома» (Жлобинский район), коммунальное унитарное предприятие «Коммунальник Калинковичский» (Калинковичский район), коммунальное архитектурно-планировочное унитарное предприятие «Архитектор» (Лельчицкий район), коммунальное жилищное унитарное предприятие «Лоевский </w:t>
      </w:r>
      <w:proofErr w:type="spellStart"/>
      <w:r w:rsidRPr="00EB633D">
        <w:rPr>
          <w:rFonts w:ascii="Times New Roman" w:eastAsia="Times New Roman" w:hAnsi="Times New Roman" w:cs="Times New Roman"/>
          <w:color w:val="000000"/>
          <w:kern w:val="0"/>
          <w:sz w:val="24"/>
          <w:szCs w:val="24"/>
          <w:lang w:eastAsia="ru-RU"/>
          <w14:ligatures w14:val="none"/>
        </w:rPr>
        <w:t>райжилкомхоз</w:t>
      </w:r>
      <w:proofErr w:type="spellEnd"/>
      <w:r w:rsidRPr="00EB633D">
        <w:rPr>
          <w:rFonts w:ascii="Times New Roman" w:eastAsia="Times New Roman" w:hAnsi="Times New Roman" w:cs="Times New Roman"/>
          <w:color w:val="000000"/>
          <w:kern w:val="0"/>
          <w:sz w:val="24"/>
          <w:szCs w:val="24"/>
          <w:lang w:eastAsia="ru-RU"/>
          <w14:ligatures w14:val="none"/>
        </w:rPr>
        <w:t>» (Лоевский район), коммунальное унитарное предприятие «Телеканал «Мозырь» (Мозырский район), учреждение «Редакция газеты «</w:t>
      </w:r>
      <w:proofErr w:type="spellStart"/>
      <w:r w:rsidRPr="00EB633D">
        <w:rPr>
          <w:rFonts w:ascii="Times New Roman" w:eastAsia="Times New Roman" w:hAnsi="Times New Roman" w:cs="Times New Roman"/>
          <w:color w:val="000000"/>
          <w:kern w:val="0"/>
          <w:sz w:val="24"/>
          <w:szCs w:val="24"/>
          <w:lang w:eastAsia="ru-RU"/>
          <w14:ligatures w14:val="none"/>
        </w:rPr>
        <w:t>Дняпровец</w:t>
      </w:r>
      <w:proofErr w:type="spellEnd"/>
      <w:r w:rsidRPr="00EB633D">
        <w:rPr>
          <w:rFonts w:ascii="Times New Roman" w:eastAsia="Times New Roman" w:hAnsi="Times New Roman" w:cs="Times New Roman"/>
          <w:color w:val="000000"/>
          <w:kern w:val="0"/>
          <w:sz w:val="24"/>
          <w:szCs w:val="24"/>
          <w:lang w:eastAsia="ru-RU"/>
          <w14:ligatures w14:val="none"/>
        </w:rPr>
        <w:t>» (Речицкий район), коммунальное жилищно-эксплуатационное унитарное предприятие «Рогачев» (Рогачевский район), государственное учреждение образования «Компьютерный центр детей и молодежи г. Светлогорска» (Светлогорский район), коммунальное жилищное унитарное предприятие «Чечерское» (Чечерский район), коммунальное производственное унитарное предприятие «Гомельский городской информационный центр» (г. Гомель);</w:t>
      </w:r>
    </w:p>
    <w:p w14:paraId="3D7B7155"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на территории Гродненской области – Новогрудское районное унитарное предприятие жилищно-коммунального хозяйства (Новогрудский район);</w:t>
      </w:r>
    </w:p>
    <w:p w14:paraId="43B7ABCF"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на территории г. Минска – коммунальное унитарное предприятие «Минский городской центр инжиниринговых услуг» (г. Минск);</w:t>
      </w:r>
    </w:p>
    <w:p w14:paraId="78470D8C"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на территории Минской области – районное унитарное предприятие «Березинское проектно-производственное архитектурно-планировочное бюро» (Березинский район), коммунальное проектное унитарное предприятие «ГРАДОСТРОИТЕЛЬ» (Борисовский район), районное коммунальное унитарное предприятие «Клецкое ЖКХ» (Клецкий район), коммунальное дочернее унитарное предприятие «Управление капитального строительства Логойского района» (Логойский район), районное унитарное предприятие «Любанское архитектурно-планировочное бюро» (Любанский район), коммунальное унитарное предприятие «Проектно-производственное архитектурно-планировочное бюро Минского райисполкома» (Минский район), коммунальное архитектурно-проектное унитарное предприятие «</w:t>
      </w:r>
      <w:proofErr w:type="spellStart"/>
      <w:r w:rsidRPr="00EB633D">
        <w:rPr>
          <w:rFonts w:ascii="Times New Roman" w:eastAsia="Times New Roman" w:hAnsi="Times New Roman" w:cs="Times New Roman"/>
          <w:color w:val="000000"/>
          <w:kern w:val="0"/>
          <w:sz w:val="24"/>
          <w:szCs w:val="24"/>
          <w:lang w:eastAsia="ru-RU"/>
          <w14:ligatures w14:val="none"/>
        </w:rPr>
        <w:t>МолодечноДизайн</w:t>
      </w:r>
      <w:proofErr w:type="spellEnd"/>
      <w:r w:rsidRPr="00EB633D">
        <w:rPr>
          <w:rFonts w:ascii="Times New Roman" w:eastAsia="Times New Roman" w:hAnsi="Times New Roman" w:cs="Times New Roman"/>
          <w:color w:val="000000"/>
          <w:kern w:val="0"/>
          <w:sz w:val="24"/>
          <w:szCs w:val="24"/>
          <w:lang w:eastAsia="ru-RU"/>
          <w14:ligatures w14:val="none"/>
        </w:rPr>
        <w:t xml:space="preserve">» (Молодечненский район), </w:t>
      </w:r>
      <w:r w:rsidRPr="00EB633D">
        <w:rPr>
          <w:rFonts w:ascii="Times New Roman" w:eastAsia="Times New Roman" w:hAnsi="Times New Roman" w:cs="Times New Roman"/>
          <w:b/>
          <w:bCs/>
          <w:color w:val="000000"/>
          <w:kern w:val="0"/>
          <w:sz w:val="24"/>
          <w:szCs w:val="24"/>
          <w:lang w:eastAsia="ru-RU"/>
          <w14:ligatures w14:val="none"/>
        </w:rPr>
        <w:t>коммунальное унитарное предприятие «Проектно-производственное бюро по Слуцкому р-ну и г. Слуцку» (Слуцкий район)</w:t>
      </w:r>
      <w:r w:rsidRPr="00EB633D">
        <w:rPr>
          <w:rFonts w:ascii="Times New Roman" w:eastAsia="Times New Roman" w:hAnsi="Times New Roman" w:cs="Times New Roman"/>
          <w:color w:val="000000"/>
          <w:kern w:val="0"/>
          <w:sz w:val="24"/>
          <w:szCs w:val="24"/>
          <w:lang w:eastAsia="ru-RU"/>
          <w14:ligatures w14:val="none"/>
        </w:rPr>
        <w:t>, коммунальное производственное унитарное предприятие «Архитектурно-планировочное бюро» (Солигорский район), районное унитарное предприятие «УЗДЕНСКОЕ АРХИТЕКТУРНО-ПЛАНИРОВОЧНОЕ БЮРО» (Узденский район), городское коммунальное унитарное предприятие «Гея» г. Жодино (г. Жодино);</w:t>
      </w:r>
    </w:p>
    <w:p w14:paraId="58DF9C88"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на территории Могилевской области – унитарное производственное коммунальное предприятие «</w:t>
      </w:r>
      <w:proofErr w:type="spellStart"/>
      <w:r w:rsidRPr="00EB633D">
        <w:rPr>
          <w:rFonts w:ascii="Times New Roman" w:eastAsia="Times New Roman" w:hAnsi="Times New Roman" w:cs="Times New Roman"/>
          <w:color w:val="000000"/>
          <w:kern w:val="0"/>
          <w:sz w:val="24"/>
          <w:szCs w:val="24"/>
          <w:lang w:eastAsia="ru-RU"/>
          <w14:ligatures w14:val="none"/>
        </w:rPr>
        <w:t>Быховпроектсервис</w:t>
      </w:r>
      <w:proofErr w:type="spellEnd"/>
      <w:r w:rsidRPr="00EB633D">
        <w:rPr>
          <w:rFonts w:ascii="Times New Roman" w:eastAsia="Times New Roman" w:hAnsi="Times New Roman" w:cs="Times New Roman"/>
          <w:color w:val="000000"/>
          <w:kern w:val="0"/>
          <w:sz w:val="24"/>
          <w:szCs w:val="24"/>
          <w:lang w:eastAsia="ru-RU"/>
          <w14:ligatures w14:val="none"/>
        </w:rPr>
        <w:t>» (Быховский район), Горецкое унитарное коммунальное производственное предприятие «Проектное бюро» (Горецкий район), коммунальное унитарное дочернее предприятие «Управление капитальным строительством Кличевского района» (Кличевский район), Осиповичское унитарное коммунальное предприятие жилищно-коммунального хозяйства (Осиповичский район), коммунальное производственное унитарное предприятие «Реклама и услуги» (г. Бобруйск), Могилевское городское унитарное коммунальное производственное предприятие «Проектное специализированное бюро» (г. Могилев), Костюковичское унитарное коммунальное производственное предприятие «Проект»;</w:t>
      </w:r>
    </w:p>
    <w:p w14:paraId="1585042C"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1.3.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2AFDBBA4"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lastRenderedPageBreak/>
        <w:t>Закон Республики Беларусь от 10 мая 2007 г. № 225-З «О рекламе»;</w:t>
      </w:r>
    </w:p>
    <w:p w14:paraId="63144A22"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Закон Республики Беларусь «Об основах административных процедур»;</w:t>
      </w:r>
    </w:p>
    <w:p w14:paraId="1C6CE61A"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Указ Президента Республики Беларусь от 12 мая 2017 г. № 166 «О совершенствовании специального правового режима Китайско-Белорусского индустриального парка «Великий камень»;</w:t>
      </w:r>
    </w:p>
    <w:p w14:paraId="18C42E91"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постановление Совета Министров Республики Беларусь от 17 октября 2018 г. № 740 «</w:t>
      </w:r>
      <w:proofErr w:type="gramStart"/>
      <w:r w:rsidRPr="00EB633D">
        <w:rPr>
          <w:rFonts w:ascii="Times New Roman" w:eastAsia="Times New Roman" w:hAnsi="Times New Roman" w:cs="Times New Roman"/>
          <w:color w:val="000000"/>
          <w:kern w:val="0"/>
          <w:sz w:val="24"/>
          <w:szCs w:val="24"/>
          <w:lang w:eastAsia="ru-RU"/>
          <w14:ligatures w14:val="none"/>
        </w:rPr>
        <w:t>Об  административных</w:t>
      </w:r>
      <w:proofErr w:type="gramEnd"/>
      <w:r w:rsidRPr="00EB633D">
        <w:rPr>
          <w:rFonts w:ascii="Times New Roman" w:eastAsia="Times New Roman" w:hAnsi="Times New Roman" w:cs="Times New Roman"/>
          <w:color w:val="000000"/>
          <w:kern w:val="0"/>
          <w:sz w:val="24"/>
          <w:szCs w:val="24"/>
          <w:lang w:eastAsia="ru-RU"/>
          <w14:ligatures w14:val="none"/>
        </w:rPr>
        <w:t xml:space="preserve"> процедурах, прием заявлений и выдача решений по которым осуществляются через службу «одно окно»;</w:t>
      </w:r>
    </w:p>
    <w:p w14:paraId="393B3037"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постановление Совета Министров Республики Беларусь от 7 июля 2021 г. № 395 «О мерах по реализации Закона Республики Беларусь «Об изменении законов по вопросам рекламы»;</w:t>
      </w:r>
    </w:p>
    <w:p w14:paraId="2EB58905"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055652E5"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1.4. иные имеющиеся особенности осуществления административной процедуры:</w:t>
      </w:r>
    </w:p>
    <w:p w14:paraId="5BB6D902"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1.4.1. дополнительные основания для отказа в принятии заявления на осуществление административной процедуры, за исключением административной процедуры, осуществляемой в отношении Китайско-Белорусского совместного закрытого акционерного общества «Компания по развитию индустриального парка» (далее – совместная компания), юридических лиц, осуществляющих деятельность на территории индустриального парка, 50 и более процентов акций (долей в уставных фондах) которых принадлежит совместной компании (далее – юридическое лицо, осуществляющее деятельность на территории индустриального парка), резидентов Китайско-Белорусского индустриального парка «Великий камень» (далее – резидент индустриального парка), размещающих средство наружной рекламы на территории индустриального парка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по сравнению с Законом Республики Беларусь «Об основах административных процедур» определены в пункте 33 Положения о порядке выдачи, продления действия, переоформления и прекращения действия разрешения на размещение средства наружной рекламы, утвержденного постановлением Совета Министров Республики Беларусь от 7 июля 2021 г. № 395;</w:t>
      </w:r>
    </w:p>
    <w:p w14:paraId="10AFF5F3"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1.4.2. дополнительные основания для отказа в осуществлении административной процедуры, за исключением административной процедуры, осуществляемой в отношении совместной компании, юридических лиц, осуществляющих деятельность на территории индустриального парка, резидентов индустриального парка, по сравнению с Законом Республики Беларусь «Об основах административных процедур» определены в пункте 38 Положения о порядке выдачи, продления действия, переоформления и прекращения действия разрешения на размещение средства наружной рекламы;</w:t>
      </w:r>
    </w:p>
    <w:p w14:paraId="497B250C"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1.4.3. обжалование административного решения об отказе в переоформлении разрешения на размещение средства наружной рекламы, принятого Минским городским исполнительным комитетом, государственным учреждением «Администрация Китайско-Белорусского индустриального парка «Великий камень», осуществляется в судебном порядке.</w:t>
      </w:r>
    </w:p>
    <w:p w14:paraId="144918ED"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2. Документы и (или) сведения, необходимые для осуществления административной процедуры, представляемые заинтересованным лицом:</w:t>
      </w:r>
    </w:p>
    <w:p w14:paraId="534DEE39"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 </w:t>
      </w:r>
    </w:p>
    <w:tbl>
      <w:tblPr>
        <w:tblW w:w="10769"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091"/>
        <w:gridCol w:w="2368"/>
        <w:gridCol w:w="2310"/>
      </w:tblGrid>
      <w:tr w:rsidR="00EB633D" w:rsidRPr="00EB633D" w14:paraId="0AECC5F1" w14:textId="77777777" w:rsidTr="00EB633D">
        <w:trPr>
          <w:trHeight w:val="240"/>
        </w:trPr>
        <w:tc>
          <w:tcPr>
            <w:tcW w:w="6091" w:type="dxa"/>
            <w:tcBorders>
              <w:bottom w:val="single" w:sz="4" w:space="0" w:color="auto"/>
              <w:right w:val="single" w:sz="4" w:space="0" w:color="auto"/>
            </w:tcBorders>
            <w:tcMar>
              <w:top w:w="0" w:type="dxa"/>
              <w:left w:w="6" w:type="dxa"/>
              <w:bottom w:w="0" w:type="dxa"/>
              <w:right w:w="6" w:type="dxa"/>
            </w:tcMar>
            <w:hideMark/>
          </w:tcPr>
          <w:p w14:paraId="6FB8EE66" w14:textId="77777777" w:rsidR="00EB633D" w:rsidRPr="00EB633D" w:rsidRDefault="00EB633D" w:rsidP="00EB633D">
            <w:pPr>
              <w:spacing w:after="0" w:line="240" w:lineRule="auto"/>
              <w:jc w:val="center"/>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Наименование документа и (или) сведений</w:t>
            </w:r>
          </w:p>
        </w:tc>
        <w:tc>
          <w:tcPr>
            <w:tcW w:w="2368" w:type="dxa"/>
            <w:tcBorders>
              <w:left w:val="single" w:sz="4" w:space="0" w:color="auto"/>
              <w:bottom w:val="single" w:sz="4" w:space="0" w:color="auto"/>
              <w:right w:val="single" w:sz="4" w:space="0" w:color="auto"/>
            </w:tcBorders>
            <w:tcMar>
              <w:top w:w="0" w:type="dxa"/>
              <w:left w:w="6" w:type="dxa"/>
              <w:bottom w:w="0" w:type="dxa"/>
              <w:right w:w="6" w:type="dxa"/>
            </w:tcMar>
            <w:hideMark/>
          </w:tcPr>
          <w:p w14:paraId="249EBC43" w14:textId="77777777" w:rsidR="00EB633D" w:rsidRPr="00EB633D" w:rsidRDefault="00EB633D" w:rsidP="00EB633D">
            <w:pPr>
              <w:spacing w:after="0" w:line="240" w:lineRule="auto"/>
              <w:jc w:val="center"/>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Требования, предъявляемые к документу и (или) сведениям</w:t>
            </w:r>
          </w:p>
        </w:tc>
        <w:tc>
          <w:tcPr>
            <w:tcW w:w="2310" w:type="dxa"/>
            <w:tcBorders>
              <w:left w:val="single" w:sz="4" w:space="0" w:color="auto"/>
              <w:bottom w:val="single" w:sz="4" w:space="0" w:color="auto"/>
            </w:tcBorders>
            <w:tcMar>
              <w:top w:w="0" w:type="dxa"/>
              <w:left w:w="6" w:type="dxa"/>
              <w:bottom w:w="0" w:type="dxa"/>
              <w:right w:w="6" w:type="dxa"/>
            </w:tcMar>
            <w:hideMark/>
          </w:tcPr>
          <w:p w14:paraId="78A91DE5" w14:textId="77777777" w:rsidR="00EB633D" w:rsidRPr="00EB633D" w:rsidRDefault="00EB633D" w:rsidP="00EB633D">
            <w:pPr>
              <w:spacing w:after="0" w:line="240" w:lineRule="auto"/>
              <w:jc w:val="center"/>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Форма и порядок представления документа и (или) сведений</w:t>
            </w:r>
          </w:p>
        </w:tc>
      </w:tr>
      <w:tr w:rsidR="00EB633D" w:rsidRPr="00EB633D" w14:paraId="43C432D3" w14:textId="77777777" w:rsidTr="00EB633D">
        <w:trPr>
          <w:trHeight w:val="240"/>
        </w:trPr>
        <w:tc>
          <w:tcPr>
            <w:tcW w:w="6091" w:type="dxa"/>
            <w:tcBorders>
              <w:top w:val="single" w:sz="4" w:space="0" w:color="auto"/>
              <w:right w:val="single" w:sz="4" w:space="0" w:color="auto"/>
            </w:tcBorders>
            <w:tcMar>
              <w:top w:w="0" w:type="dxa"/>
              <w:left w:w="6" w:type="dxa"/>
              <w:bottom w:w="0" w:type="dxa"/>
              <w:right w:w="6" w:type="dxa"/>
            </w:tcMar>
            <w:hideMark/>
          </w:tcPr>
          <w:p w14:paraId="387269D2"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для переоформления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tc>
        <w:tc>
          <w:tcPr>
            <w:tcW w:w="2368" w:type="dxa"/>
            <w:tcBorders>
              <w:top w:val="single" w:sz="4" w:space="0" w:color="auto"/>
              <w:left w:val="single" w:sz="4" w:space="0" w:color="auto"/>
              <w:right w:val="single" w:sz="4" w:space="0" w:color="auto"/>
            </w:tcBorders>
            <w:tcMar>
              <w:top w:w="0" w:type="dxa"/>
              <w:left w:w="6" w:type="dxa"/>
              <w:bottom w:w="0" w:type="dxa"/>
              <w:right w:w="6" w:type="dxa"/>
            </w:tcMar>
            <w:hideMark/>
          </w:tcPr>
          <w:p w14:paraId="18526AC5"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 </w:t>
            </w:r>
          </w:p>
        </w:tc>
        <w:tc>
          <w:tcPr>
            <w:tcW w:w="2310" w:type="dxa"/>
            <w:tcBorders>
              <w:top w:val="single" w:sz="4" w:space="0" w:color="auto"/>
              <w:left w:val="single" w:sz="4" w:space="0" w:color="auto"/>
            </w:tcBorders>
            <w:tcMar>
              <w:top w:w="0" w:type="dxa"/>
              <w:left w:w="6" w:type="dxa"/>
              <w:bottom w:w="0" w:type="dxa"/>
              <w:right w:w="6" w:type="dxa"/>
            </w:tcMar>
            <w:hideMark/>
          </w:tcPr>
          <w:p w14:paraId="2CD6B400"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 </w:t>
            </w:r>
          </w:p>
        </w:tc>
      </w:tr>
      <w:tr w:rsidR="00EB633D" w:rsidRPr="00EB633D" w14:paraId="6870A10E" w14:textId="77777777" w:rsidTr="00EB633D">
        <w:trPr>
          <w:trHeight w:val="240"/>
        </w:trPr>
        <w:tc>
          <w:tcPr>
            <w:tcW w:w="6091" w:type="dxa"/>
            <w:tcBorders>
              <w:bottom w:val="single" w:sz="4" w:space="0" w:color="auto"/>
              <w:right w:val="single" w:sz="4" w:space="0" w:color="auto"/>
            </w:tcBorders>
            <w:tcMar>
              <w:top w:w="0" w:type="dxa"/>
              <w:left w:w="6" w:type="dxa"/>
              <w:bottom w:w="0" w:type="dxa"/>
              <w:right w:w="6" w:type="dxa"/>
            </w:tcMar>
            <w:hideMark/>
          </w:tcPr>
          <w:p w14:paraId="58DEA5C9" w14:textId="77777777" w:rsidR="00EB633D" w:rsidRPr="00EB633D" w:rsidRDefault="00EB633D" w:rsidP="00EB633D">
            <w:pPr>
              <w:spacing w:before="120"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заявление на переоформление разрешения на размещение средства наружной рекламы</w:t>
            </w:r>
          </w:p>
        </w:tc>
        <w:tc>
          <w:tcPr>
            <w:tcW w:w="2368" w:type="dxa"/>
            <w:tcBorders>
              <w:left w:val="single" w:sz="4" w:space="0" w:color="auto"/>
              <w:bottom w:val="single" w:sz="4" w:space="0" w:color="auto"/>
              <w:right w:val="single" w:sz="4" w:space="0" w:color="auto"/>
            </w:tcBorders>
            <w:tcMar>
              <w:top w:w="0" w:type="dxa"/>
              <w:left w:w="6" w:type="dxa"/>
              <w:bottom w:w="0" w:type="dxa"/>
              <w:right w:w="6" w:type="dxa"/>
            </w:tcMar>
            <w:hideMark/>
          </w:tcPr>
          <w:p w14:paraId="708B07C1" w14:textId="77777777" w:rsidR="00EB633D" w:rsidRPr="00EB633D" w:rsidRDefault="00EB633D" w:rsidP="00EB633D">
            <w:pPr>
              <w:spacing w:before="120"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по форме согласно приложению</w:t>
            </w:r>
          </w:p>
        </w:tc>
        <w:tc>
          <w:tcPr>
            <w:tcW w:w="2310" w:type="dxa"/>
            <w:tcBorders>
              <w:left w:val="single" w:sz="4" w:space="0" w:color="auto"/>
              <w:bottom w:val="single" w:sz="4" w:space="0" w:color="auto"/>
            </w:tcBorders>
            <w:tcMar>
              <w:top w:w="0" w:type="dxa"/>
              <w:left w:w="6" w:type="dxa"/>
              <w:bottom w:w="0" w:type="dxa"/>
              <w:right w:w="6" w:type="dxa"/>
            </w:tcMar>
            <w:hideMark/>
          </w:tcPr>
          <w:p w14:paraId="20B55AFF"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в письменной форме:</w:t>
            </w:r>
            <w:r w:rsidRPr="00EB633D">
              <w:rPr>
                <w:rFonts w:ascii="Times New Roman" w:eastAsia="Times New Roman" w:hAnsi="Times New Roman" w:cs="Times New Roman"/>
                <w:kern w:val="0"/>
                <w:sz w:val="20"/>
                <w:szCs w:val="20"/>
                <w:lang w:eastAsia="ru-RU"/>
                <w14:ligatures w14:val="none"/>
              </w:rPr>
              <w:br/>
            </w:r>
            <w:r w:rsidRPr="00EB633D">
              <w:rPr>
                <w:rFonts w:ascii="Times New Roman" w:eastAsia="Times New Roman" w:hAnsi="Times New Roman" w:cs="Times New Roman"/>
                <w:kern w:val="0"/>
                <w:sz w:val="20"/>
                <w:szCs w:val="20"/>
                <w:lang w:eastAsia="ru-RU"/>
                <w14:ligatures w14:val="none"/>
              </w:rPr>
              <w:br/>
              <w:t>нарочным (курьером);</w:t>
            </w:r>
            <w:r w:rsidRPr="00EB633D">
              <w:rPr>
                <w:rFonts w:ascii="Times New Roman" w:eastAsia="Times New Roman" w:hAnsi="Times New Roman" w:cs="Times New Roman"/>
                <w:kern w:val="0"/>
                <w:sz w:val="20"/>
                <w:szCs w:val="20"/>
                <w:lang w:eastAsia="ru-RU"/>
                <w14:ligatures w14:val="none"/>
              </w:rPr>
              <w:br/>
            </w:r>
            <w:r w:rsidRPr="00EB633D">
              <w:rPr>
                <w:rFonts w:ascii="Times New Roman" w:eastAsia="Times New Roman" w:hAnsi="Times New Roman" w:cs="Times New Roman"/>
                <w:kern w:val="0"/>
                <w:sz w:val="20"/>
                <w:szCs w:val="20"/>
                <w:lang w:eastAsia="ru-RU"/>
                <w14:ligatures w14:val="none"/>
              </w:rPr>
              <w:br/>
              <w:t>посредством почтовой связи</w:t>
            </w:r>
          </w:p>
        </w:tc>
      </w:tr>
      <w:tr w:rsidR="00EB633D" w:rsidRPr="00EB633D" w14:paraId="32AAF3E1" w14:textId="77777777" w:rsidTr="00EB633D">
        <w:trPr>
          <w:trHeight w:val="240"/>
        </w:trPr>
        <w:tc>
          <w:tcPr>
            <w:tcW w:w="6091" w:type="dxa"/>
            <w:tcBorders>
              <w:top w:val="single" w:sz="4" w:space="0" w:color="auto"/>
              <w:bottom w:val="single" w:sz="4" w:space="0" w:color="auto"/>
              <w:right w:val="single" w:sz="4" w:space="0" w:color="auto"/>
            </w:tcBorders>
            <w:tcMar>
              <w:top w:w="0" w:type="dxa"/>
              <w:left w:w="6" w:type="dxa"/>
              <w:bottom w:w="0" w:type="dxa"/>
              <w:right w:w="6" w:type="dxa"/>
            </w:tcMar>
            <w:hideMark/>
          </w:tcPr>
          <w:p w14:paraId="43DF8DAC"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lastRenderedPageBreak/>
              <w:t>две фотографии с обозначением места размещения средства наружной рекламы (существующее положение)</w:t>
            </w:r>
          </w:p>
        </w:tc>
        <w:tc>
          <w:tcPr>
            <w:tcW w:w="23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4AD56D"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выполняются в цвете;</w:t>
            </w:r>
            <w:r w:rsidRPr="00EB633D">
              <w:rPr>
                <w:rFonts w:ascii="Times New Roman" w:eastAsia="Times New Roman" w:hAnsi="Times New Roman" w:cs="Times New Roman"/>
                <w:kern w:val="0"/>
                <w:sz w:val="20"/>
                <w:szCs w:val="20"/>
                <w:lang w:eastAsia="ru-RU"/>
                <w14:ligatures w14:val="none"/>
              </w:rPr>
              <w:br/>
            </w:r>
            <w:r w:rsidRPr="00EB633D">
              <w:rPr>
                <w:rFonts w:ascii="Times New Roman" w:eastAsia="Times New Roman" w:hAnsi="Times New Roman" w:cs="Times New Roman"/>
                <w:kern w:val="0"/>
                <w:sz w:val="20"/>
                <w:szCs w:val="20"/>
                <w:lang w:eastAsia="ru-RU"/>
                <w14:ligatures w14:val="none"/>
              </w:rPr>
              <w:br/>
              <w:t>размер фотографий – 9 x 13 сантиметров;</w:t>
            </w:r>
            <w:r w:rsidRPr="00EB633D">
              <w:rPr>
                <w:rFonts w:ascii="Times New Roman" w:eastAsia="Times New Roman" w:hAnsi="Times New Roman" w:cs="Times New Roman"/>
                <w:kern w:val="0"/>
                <w:sz w:val="20"/>
                <w:szCs w:val="20"/>
                <w:lang w:eastAsia="ru-RU"/>
                <w14:ligatures w14:val="none"/>
              </w:rPr>
              <w:br/>
            </w:r>
            <w:r w:rsidRPr="00EB633D">
              <w:rPr>
                <w:rFonts w:ascii="Times New Roman" w:eastAsia="Times New Roman" w:hAnsi="Times New Roman" w:cs="Times New Roman"/>
                <w:kern w:val="0"/>
                <w:sz w:val="20"/>
                <w:szCs w:val="20"/>
                <w:lang w:eastAsia="ru-RU"/>
                <w14:ligatures w14:val="none"/>
              </w:rPr>
              <w:br/>
              <w:t>давность фотографий – не более 1 месяца</w:t>
            </w:r>
          </w:p>
        </w:tc>
        <w:tc>
          <w:tcPr>
            <w:tcW w:w="2310" w:type="dxa"/>
            <w:tcBorders>
              <w:top w:val="single" w:sz="4" w:space="0" w:color="auto"/>
              <w:left w:val="single" w:sz="4" w:space="0" w:color="auto"/>
              <w:bottom w:val="single" w:sz="4" w:space="0" w:color="auto"/>
            </w:tcBorders>
            <w:tcMar>
              <w:top w:w="0" w:type="dxa"/>
              <w:left w:w="6" w:type="dxa"/>
              <w:bottom w:w="0" w:type="dxa"/>
              <w:right w:w="6" w:type="dxa"/>
            </w:tcMar>
            <w:hideMark/>
          </w:tcPr>
          <w:p w14:paraId="3BEA9D8D"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 </w:t>
            </w:r>
          </w:p>
        </w:tc>
      </w:tr>
      <w:tr w:rsidR="00EB633D" w:rsidRPr="00EB633D" w14:paraId="3EDF580F" w14:textId="77777777" w:rsidTr="00EB633D">
        <w:trPr>
          <w:trHeight w:val="240"/>
        </w:trPr>
        <w:tc>
          <w:tcPr>
            <w:tcW w:w="6091" w:type="dxa"/>
            <w:tcBorders>
              <w:top w:val="single" w:sz="4" w:space="0" w:color="auto"/>
              <w:bottom w:val="single" w:sz="4" w:space="0" w:color="auto"/>
              <w:right w:val="single" w:sz="4" w:space="0" w:color="auto"/>
            </w:tcBorders>
            <w:tcMar>
              <w:top w:w="0" w:type="dxa"/>
              <w:left w:w="6" w:type="dxa"/>
              <w:bottom w:w="0" w:type="dxa"/>
              <w:right w:w="6" w:type="dxa"/>
            </w:tcMar>
            <w:hideMark/>
          </w:tcPr>
          <w:p w14:paraId="635AC76B"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эскиз средства наружной рекламы в увязке с конкретной архитектурно-планировочной ситуацией по месту его размещения – при переоформлении разрешения в связи с модернизацией средства наружной рекламы, в результате которой изменяется вид и (или) в допустимых размерах площадь рекламного поля средства наружной рекламы</w:t>
            </w:r>
          </w:p>
        </w:tc>
        <w:tc>
          <w:tcPr>
            <w:tcW w:w="23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A1350E"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выполняется на бумажном носителе в цвете в формате А4 в двух экземплярах</w:t>
            </w:r>
          </w:p>
        </w:tc>
        <w:tc>
          <w:tcPr>
            <w:tcW w:w="2310" w:type="dxa"/>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3F7D241E"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 </w:t>
            </w:r>
          </w:p>
        </w:tc>
      </w:tr>
      <w:tr w:rsidR="00EB633D" w:rsidRPr="00EB633D" w14:paraId="6233EE27" w14:textId="77777777" w:rsidTr="00EB633D">
        <w:trPr>
          <w:trHeight w:val="240"/>
        </w:trPr>
        <w:tc>
          <w:tcPr>
            <w:tcW w:w="6091" w:type="dxa"/>
            <w:tcBorders>
              <w:top w:val="single" w:sz="4" w:space="0" w:color="auto"/>
              <w:bottom w:val="single" w:sz="4" w:space="0" w:color="auto"/>
              <w:right w:val="single" w:sz="4" w:space="0" w:color="auto"/>
            </w:tcBorders>
            <w:tcMar>
              <w:top w:w="0" w:type="dxa"/>
              <w:left w:w="6" w:type="dxa"/>
              <w:bottom w:w="0" w:type="dxa"/>
              <w:right w:w="6" w:type="dxa"/>
            </w:tcMar>
            <w:hideMark/>
          </w:tcPr>
          <w:p w14:paraId="19420407"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копия документа, подтверждающего переход права собственности, хозяйственного ведения или оперативного управления на средство наружной рекламы к другому рекламораспространителю, – при переоформлении разрешения в связи с переходом такого права</w:t>
            </w:r>
          </w:p>
        </w:tc>
        <w:tc>
          <w:tcPr>
            <w:tcW w:w="23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A14C73"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 </w:t>
            </w:r>
          </w:p>
        </w:tc>
        <w:tc>
          <w:tcPr>
            <w:tcW w:w="2310" w:type="dxa"/>
            <w:vMerge/>
            <w:tcBorders>
              <w:top w:val="single" w:sz="4" w:space="0" w:color="auto"/>
              <w:left w:val="single" w:sz="4" w:space="0" w:color="auto"/>
              <w:bottom w:val="single" w:sz="4" w:space="0" w:color="auto"/>
            </w:tcBorders>
            <w:tcMar>
              <w:top w:w="0" w:type="dxa"/>
              <w:left w:w="0" w:type="dxa"/>
              <w:bottom w:w="0" w:type="dxa"/>
              <w:right w:w="0" w:type="dxa"/>
            </w:tcMar>
            <w:vAlign w:val="center"/>
            <w:hideMark/>
          </w:tcPr>
          <w:p w14:paraId="0AFE8B55"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p>
        </w:tc>
      </w:tr>
      <w:tr w:rsidR="00EB633D" w:rsidRPr="00EB633D" w14:paraId="68DDBEF5" w14:textId="77777777" w:rsidTr="00EB633D">
        <w:trPr>
          <w:trHeight w:val="240"/>
        </w:trPr>
        <w:tc>
          <w:tcPr>
            <w:tcW w:w="6091" w:type="dxa"/>
            <w:tcBorders>
              <w:top w:val="single" w:sz="4" w:space="0" w:color="auto"/>
              <w:bottom w:val="single" w:sz="4" w:space="0" w:color="auto"/>
              <w:right w:val="single" w:sz="4" w:space="0" w:color="auto"/>
            </w:tcBorders>
            <w:tcMar>
              <w:top w:w="0" w:type="dxa"/>
              <w:left w:w="6" w:type="dxa"/>
              <w:bottom w:w="0" w:type="dxa"/>
              <w:right w:w="6" w:type="dxa"/>
            </w:tcMar>
            <w:hideMark/>
          </w:tcPr>
          <w:p w14:paraId="7D4449CC"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документ, подтверждающий внесение платы (за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p>
        </w:tc>
        <w:tc>
          <w:tcPr>
            <w:tcW w:w="23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D00C13"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 </w:t>
            </w:r>
          </w:p>
        </w:tc>
        <w:tc>
          <w:tcPr>
            <w:tcW w:w="2310" w:type="dxa"/>
            <w:vMerge/>
            <w:tcBorders>
              <w:top w:val="single" w:sz="4" w:space="0" w:color="auto"/>
              <w:left w:val="single" w:sz="4" w:space="0" w:color="auto"/>
              <w:bottom w:val="single" w:sz="4" w:space="0" w:color="auto"/>
            </w:tcBorders>
            <w:tcMar>
              <w:top w:w="0" w:type="dxa"/>
              <w:left w:w="0" w:type="dxa"/>
              <w:bottom w:w="0" w:type="dxa"/>
              <w:right w:w="0" w:type="dxa"/>
            </w:tcMar>
            <w:vAlign w:val="center"/>
            <w:hideMark/>
          </w:tcPr>
          <w:p w14:paraId="2B6BFD36"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p>
        </w:tc>
      </w:tr>
      <w:tr w:rsidR="00EB633D" w:rsidRPr="00EB633D" w14:paraId="00E3FACD" w14:textId="77777777" w:rsidTr="00EB633D">
        <w:trPr>
          <w:trHeight w:val="240"/>
        </w:trPr>
        <w:tc>
          <w:tcPr>
            <w:tcW w:w="6091" w:type="dxa"/>
            <w:tcBorders>
              <w:top w:val="single" w:sz="4" w:space="0" w:color="auto"/>
              <w:right w:val="single" w:sz="4" w:space="0" w:color="auto"/>
            </w:tcBorders>
            <w:tcMar>
              <w:top w:w="0" w:type="dxa"/>
              <w:left w:w="6" w:type="dxa"/>
              <w:bottom w:w="0" w:type="dxa"/>
              <w:right w:w="6" w:type="dxa"/>
            </w:tcMar>
            <w:hideMark/>
          </w:tcPr>
          <w:p w14:paraId="1DF39BA4"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для переоформления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tc>
        <w:tc>
          <w:tcPr>
            <w:tcW w:w="2368" w:type="dxa"/>
            <w:tcBorders>
              <w:top w:val="single" w:sz="4" w:space="0" w:color="auto"/>
              <w:left w:val="single" w:sz="4" w:space="0" w:color="auto"/>
              <w:right w:val="single" w:sz="4" w:space="0" w:color="auto"/>
            </w:tcBorders>
            <w:tcMar>
              <w:top w:w="0" w:type="dxa"/>
              <w:left w:w="6" w:type="dxa"/>
              <w:bottom w:w="0" w:type="dxa"/>
              <w:right w:w="6" w:type="dxa"/>
            </w:tcMar>
            <w:hideMark/>
          </w:tcPr>
          <w:p w14:paraId="25A6A5DE"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 </w:t>
            </w:r>
          </w:p>
        </w:tc>
        <w:tc>
          <w:tcPr>
            <w:tcW w:w="2310" w:type="dxa"/>
            <w:tcBorders>
              <w:top w:val="single" w:sz="4" w:space="0" w:color="auto"/>
              <w:left w:val="single" w:sz="4" w:space="0" w:color="auto"/>
            </w:tcBorders>
            <w:tcMar>
              <w:top w:w="0" w:type="dxa"/>
              <w:left w:w="6" w:type="dxa"/>
              <w:bottom w:w="0" w:type="dxa"/>
              <w:right w:w="6" w:type="dxa"/>
            </w:tcMar>
            <w:hideMark/>
          </w:tcPr>
          <w:p w14:paraId="0535ED79"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 </w:t>
            </w:r>
          </w:p>
        </w:tc>
      </w:tr>
      <w:tr w:rsidR="00EB633D" w:rsidRPr="00EB633D" w14:paraId="441B3C91" w14:textId="77777777" w:rsidTr="00EB633D">
        <w:trPr>
          <w:trHeight w:val="240"/>
        </w:trPr>
        <w:tc>
          <w:tcPr>
            <w:tcW w:w="6091" w:type="dxa"/>
            <w:tcBorders>
              <w:bottom w:val="single" w:sz="4" w:space="0" w:color="auto"/>
              <w:right w:val="single" w:sz="4" w:space="0" w:color="auto"/>
            </w:tcBorders>
            <w:tcMar>
              <w:top w:w="0" w:type="dxa"/>
              <w:left w:w="6" w:type="dxa"/>
              <w:bottom w:w="0" w:type="dxa"/>
              <w:right w:w="6" w:type="dxa"/>
            </w:tcMar>
            <w:hideMark/>
          </w:tcPr>
          <w:p w14:paraId="451934A8" w14:textId="77777777" w:rsidR="00EB633D" w:rsidRPr="00EB633D" w:rsidRDefault="00EB633D" w:rsidP="00EB633D">
            <w:pPr>
              <w:spacing w:before="120"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заявление на выдачу разрешения на размещение средства наружной рекламы</w:t>
            </w:r>
          </w:p>
        </w:tc>
        <w:tc>
          <w:tcPr>
            <w:tcW w:w="2368" w:type="dxa"/>
            <w:tcBorders>
              <w:left w:val="single" w:sz="4" w:space="0" w:color="auto"/>
              <w:bottom w:val="single" w:sz="4" w:space="0" w:color="auto"/>
              <w:right w:val="single" w:sz="4" w:space="0" w:color="auto"/>
            </w:tcBorders>
            <w:tcMar>
              <w:top w:w="0" w:type="dxa"/>
              <w:left w:w="6" w:type="dxa"/>
              <w:bottom w:w="0" w:type="dxa"/>
              <w:right w:w="6" w:type="dxa"/>
            </w:tcMar>
            <w:hideMark/>
          </w:tcPr>
          <w:p w14:paraId="7305F4FC" w14:textId="77777777" w:rsidR="00EB633D" w:rsidRPr="00EB633D" w:rsidRDefault="00EB633D" w:rsidP="00EB633D">
            <w:pPr>
              <w:spacing w:before="120"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в соответствии с частью второй пункта 108 Положения о специальном правовом режиме Китайско-Белорусского индустриального парка «Великий камень», утвержденного Указом Президента Республики Беларусь от 12 мая 2017 г. № 166</w:t>
            </w:r>
          </w:p>
        </w:tc>
        <w:tc>
          <w:tcPr>
            <w:tcW w:w="2310" w:type="dxa"/>
            <w:vMerge w:val="restart"/>
            <w:tcBorders>
              <w:left w:val="single" w:sz="4" w:space="0" w:color="auto"/>
              <w:bottom w:val="single" w:sz="4" w:space="0" w:color="auto"/>
            </w:tcBorders>
            <w:tcMar>
              <w:top w:w="0" w:type="dxa"/>
              <w:left w:w="6" w:type="dxa"/>
              <w:bottom w:w="0" w:type="dxa"/>
              <w:right w:w="6" w:type="dxa"/>
            </w:tcMar>
            <w:hideMark/>
          </w:tcPr>
          <w:p w14:paraId="469458B0"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в письменной форме:</w:t>
            </w:r>
            <w:r w:rsidRPr="00EB633D">
              <w:rPr>
                <w:rFonts w:ascii="Times New Roman" w:eastAsia="Times New Roman" w:hAnsi="Times New Roman" w:cs="Times New Roman"/>
                <w:kern w:val="0"/>
                <w:sz w:val="20"/>
                <w:szCs w:val="20"/>
                <w:lang w:eastAsia="ru-RU"/>
                <w14:ligatures w14:val="none"/>
              </w:rPr>
              <w:br/>
            </w:r>
            <w:r w:rsidRPr="00EB633D">
              <w:rPr>
                <w:rFonts w:ascii="Times New Roman" w:eastAsia="Times New Roman" w:hAnsi="Times New Roman" w:cs="Times New Roman"/>
                <w:kern w:val="0"/>
                <w:sz w:val="20"/>
                <w:szCs w:val="20"/>
                <w:lang w:eastAsia="ru-RU"/>
                <w14:ligatures w14:val="none"/>
              </w:rPr>
              <w:br/>
              <w:t>нарочным (курьером);</w:t>
            </w:r>
            <w:r w:rsidRPr="00EB633D">
              <w:rPr>
                <w:rFonts w:ascii="Times New Roman" w:eastAsia="Times New Roman" w:hAnsi="Times New Roman" w:cs="Times New Roman"/>
                <w:kern w:val="0"/>
                <w:sz w:val="20"/>
                <w:szCs w:val="20"/>
                <w:lang w:eastAsia="ru-RU"/>
                <w14:ligatures w14:val="none"/>
              </w:rPr>
              <w:br/>
            </w:r>
            <w:r w:rsidRPr="00EB633D">
              <w:rPr>
                <w:rFonts w:ascii="Times New Roman" w:eastAsia="Times New Roman" w:hAnsi="Times New Roman" w:cs="Times New Roman"/>
                <w:kern w:val="0"/>
                <w:sz w:val="20"/>
                <w:szCs w:val="20"/>
                <w:lang w:eastAsia="ru-RU"/>
                <w14:ligatures w14:val="none"/>
              </w:rPr>
              <w:br/>
              <w:t>посредством почтовой связи</w:t>
            </w:r>
          </w:p>
        </w:tc>
      </w:tr>
      <w:tr w:rsidR="00EB633D" w:rsidRPr="00EB633D" w14:paraId="2A68284D" w14:textId="77777777" w:rsidTr="00EB633D">
        <w:trPr>
          <w:trHeight w:val="240"/>
        </w:trPr>
        <w:tc>
          <w:tcPr>
            <w:tcW w:w="6091" w:type="dxa"/>
            <w:tcBorders>
              <w:top w:val="single" w:sz="4" w:space="0" w:color="auto"/>
              <w:bottom w:val="single" w:sz="4" w:space="0" w:color="auto"/>
              <w:right w:val="single" w:sz="4" w:space="0" w:color="auto"/>
            </w:tcBorders>
            <w:tcMar>
              <w:top w:w="0" w:type="dxa"/>
              <w:left w:w="6" w:type="dxa"/>
              <w:bottom w:w="0" w:type="dxa"/>
              <w:right w:w="6" w:type="dxa"/>
            </w:tcMar>
            <w:hideMark/>
          </w:tcPr>
          <w:p w14:paraId="63EF5E57"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эскиз средства наружной рекламы в увязке с конкретной архитектурно-планировочной ситуацией по месту его размещения</w:t>
            </w:r>
          </w:p>
        </w:tc>
        <w:tc>
          <w:tcPr>
            <w:tcW w:w="23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031D5F"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выполняется на бумажном носителе в цвете</w:t>
            </w:r>
          </w:p>
        </w:tc>
        <w:tc>
          <w:tcPr>
            <w:tcW w:w="2310" w:type="dxa"/>
            <w:vMerge/>
            <w:tcBorders>
              <w:left w:val="single" w:sz="4" w:space="0" w:color="auto"/>
              <w:bottom w:val="single" w:sz="4" w:space="0" w:color="auto"/>
            </w:tcBorders>
            <w:tcMar>
              <w:top w:w="0" w:type="dxa"/>
              <w:left w:w="0" w:type="dxa"/>
              <w:bottom w:w="0" w:type="dxa"/>
              <w:right w:w="0" w:type="dxa"/>
            </w:tcMar>
            <w:vAlign w:val="center"/>
            <w:hideMark/>
          </w:tcPr>
          <w:p w14:paraId="1F8AC9B0"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p>
        </w:tc>
      </w:tr>
      <w:tr w:rsidR="00EB633D" w:rsidRPr="00EB633D" w14:paraId="50981D55" w14:textId="77777777" w:rsidTr="00EB633D">
        <w:trPr>
          <w:trHeight w:val="240"/>
        </w:trPr>
        <w:tc>
          <w:tcPr>
            <w:tcW w:w="6091" w:type="dxa"/>
            <w:tcBorders>
              <w:top w:val="single" w:sz="4" w:space="0" w:color="auto"/>
              <w:bottom w:val="single" w:sz="4" w:space="0" w:color="auto"/>
              <w:right w:val="single" w:sz="4" w:space="0" w:color="auto"/>
            </w:tcBorders>
            <w:tcMar>
              <w:top w:w="0" w:type="dxa"/>
              <w:left w:w="6" w:type="dxa"/>
              <w:bottom w:w="0" w:type="dxa"/>
              <w:right w:w="6" w:type="dxa"/>
            </w:tcMar>
            <w:hideMark/>
          </w:tcPr>
          <w:p w14:paraId="78DED0C2"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рекламораспространитель являются одним лицом</w:t>
            </w:r>
          </w:p>
        </w:tc>
        <w:tc>
          <w:tcPr>
            <w:tcW w:w="23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FBAAEC"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 </w:t>
            </w:r>
          </w:p>
        </w:tc>
        <w:tc>
          <w:tcPr>
            <w:tcW w:w="2310" w:type="dxa"/>
            <w:vMerge/>
            <w:tcBorders>
              <w:left w:val="single" w:sz="4" w:space="0" w:color="auto"/>
              <w:bottom w:val="single" w:sz="4" w:space="0" w:color="auto"/>
            </w:tcBorders>
            <w:tcMar>
              <w:top w:w="0" w:type="dxa"/>
              <w:left w:w="0" w:type="dxa"/>
              <w:bottom w:w="0" w:type="dxa"/>
              <w:right w:w="0" w:type="dxa"/>
            </w:tcMar>
            <w:vAlign w:val="center"/>
            <w:hideMark/>
          </w:tcPr>
          <w:p w14:paraId="4FD8F0BB"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p>
        </w:tc>
      </w:tr>
      <w:tr w:rsidR="00EB633D" w:rsidRPr="00EB633D" w14:paraId="364FDEF4" w14:textId="77777777" w:rsidTr="00EB633D">
        <w:trPr>
          <w:trHeight w:val="240"/>
        </w:trPr>
        <w:tc>
          <w:tcPr>
            <w:tcW w:w="6091" w:type="dxa"/>
            <w:tcBorders>
              <w:top w:val="single" w:sz="4" w:space="0" w:color="auto"/>
              <w:right w:val="single" w:sz="4" w:space="0" w:color="auto"/>
            </w:tcBorders>
            <w:tcMar>
              <w:top w:w="0" w:type="dxa"/>
              <w:left w:w="6" w:type="dxa"/>
              <w:bottom w:w="0" w:type="dxa"/>
              <w:right w:w="6" w:type="dxa"/>
            </w:tcMar>
            <w:hideMark/>
          </w:tcPr>
          <w:p w14:paraId="76AA3931"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w:t>
            </w:r>
          </w:p>
        </w:tc>
        <w:tc>
          <w:tcPr>
            <w:tcW w:w="2368" w:type="dxa"/>
            <w:tcBorders>
              <w:top w:val="single" w:sz="4" w:space="0" w:color="auto"/>
              <w:left w:val="single" w:sz="4" w:space="0" w:color="auto"/>
              <w:right w:val="single" w:sz="4" w:space="0" w:color="auto"/>
            </w:tcBorders>
            <w:tcMar>
              <w:top w:w="0" w:type="dxa"/>
              <w:left w:w="6" w:type="dxa"/>
              <w:bottom w:w="0" w:type="dxa"/>
              <w:right w:w="6" w:type="dxa"/>
            </w:tcMar>
            <w:hideMark/>
          </w:tcPr>
          <w:p w14:paraId="7B60FB8B"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документ должен быть согласован с совместной компанией, за исключением случая, когда рекламораспространителем является совместная компания</w:t>
            </w:r>
          </w:p>
        </w:tc>
        <w:tc>
          <w:tcPr>
            <w:tcW w:w="2310" w:type="dxa"/>
            <w:vMerge/>
            <w:tcBorders>
              <w:left w:val="single" w:sz="4" w:space="0" w:color="auto"/>
              <w:bottom w:val="single" w:sz="4" w:space="0" w:color="auto"/>
            </w:tcBorders>
            <w:tcMar>
              <w:top w:w="0" w:type="dxa"/>
              <w:left w:w="0" w:type="dxa"/>
              <w:bottom w:w="0" w:type="dxa"/>
              <w:right w:w="0" w:type="dxa"/>
            </w:tcMar>
            <w:vAlign w:val="center"/>
            <w:hideMark/>
          </w:tcPr>
          <w:p w14:paraId="529EEF51"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p>
        </w:tc>
      </w:tr>
    </w:tbl>
    <w:p w14:paraId="3128F907"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 </w:t>
      </w:r>
    </w:p>
    <w:p w14:paraId="0BE658D7"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1EEAD4AC"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31ED968A"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 </w:t>
      </w:r>
    </w:p>
    <w:tbl>
      <w:tblPr>
        <w:tblW w:w="10626"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72"/>
        <w:gridCol w:w="6237"/>
        <w:gridCol w:w="1417"/>
      </w:tblGrid>
      <w:tr w:rsidR="00EB633D" w:rsidRPr="00EB633D" w14:paraId="38BA26A5" w14:textId="77777777" w:rsidTr="00EB633D">
        <w:trPr>
          <w:trHeight w:val="240"/>
        </w:trPr>
        <w:tc>
          <w:tcPr>
            <w:tcW w:w="2972" w:type="dxa"/>
            <w:tcBorders>
              <w:bottom w:val="single" w:sz="4" w:space="0" w:color="auto"/>
              <w:right w:val="single" w:sz="4" w:space="0" w:color="auto"/>
            </w:tcBorders>
            <w:tcMar>
              <w:top w:w="0" w:type="dxa"/>
              <w:left w:w="6" w:type="dxa"/>
              <w:bottom w:w="0" w:type="dxa"/>
              <w:right w:w="6" w:type="dxa"/>
            </w:tcMar>
            <w:hideMark/>
          </w:tcPr>
          <w:p w14:paraId="02B4EDA0" w14:textId="77777777" w:rsidR="00EB633D" w:rsidRPr="00EB633D" w:rsidRDefault="00EB633D" w:rsidP="00EB633D">
            <w:pPr>
              <w:spacing w:after="0" w:line="240" w:lineRule="auto"/>
              <w:jc w:val="center"/>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Наименование документа</w:t>
            </w:r>
          </w:p>
        </w:tc>
        <w:tc>
          <w:tcPr>
            <w:tcW w:w="6237" w:type="dxa"/>
            <w:tcBorders>
              <w:left w:val="single" w:sz="4" w:space="0" w:color="auto"/>
              <w:bottom w:val="single" w:sz="4" w:space="0" w:color="auto"/>
              <w:right w:val="single" w:sz="4" w:space="0" w:color="auto"/>
            </w:tcBorders>
            <w:tcMar>
              <w:top w:w="0" w:type="dxa"/>
              <w:left w:w="6" w:type="dxa"/>
              <w:bottom w:w="0" w:type="dxa"/>
              <w:right w:w="6" w:type="dxa"/>
            </w:tcMar>
            <w:hideMark/>
          </w:tcPr>
          <w:p w14:paraId="720CBD28" w14:textId="77777777" w:rsidR="00EB633D" w:rsidRPr="00EB633D" w:rsidRDefault="00EB633D" w:rsidP="00EB633D">
            <w:pPr>
              <w:spacing w:after="0" w:line="240" w:lineRule="auto"/>
              <w:jc w:val="center"/>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Срок действия</w:t>
            </w:r>
          </w:p>
        </w:tc>
        <w:tc>
          <w:tcPr>
            <w:tcW w:w="1417" w:type="dxa"/>
            <w:tcBorders>
              <w:left w:val="single" w:sz="4" w:space="0" w:color="auto"/>
              <w:bottom w:val="single" w:sz="4" w:space="0" w:color="auto"/>
            </w:tcBorders>
            <w:tcMar>
              <w:top w:w="0" w:type="dxa"/>
              <w:left w:w="6" w:type="dxa"/>
              <w:bottom w:w="0" w:type="dxa"/>
              <w:right w:w="6" w:type="dxa"/>
            </w:tcMar>
            <w:hideMark/>
          </w:tcPr>
          <w:p w14:paraId="6DC1A3E9" w14:textId="77777777" w:rsidR="00EB633D" w:rsidRPr="00EB633D" w:rsidRDefault="00EB633D" w:rsidP="00EB633D">
            <w:pPr>
              <w:spacing w:after="0" w:line="240" w:lineRule="auto"/>
              <w:jc w:val="center"/>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Форма представления</w:t>
            </w:r>
          </w:p>
        </w:tc>
      </w:tr>
      <w:tr w:rsidR="00EB633D" w:rsidRPr="00EB633D" w14:paraId="7F0A67AC" w14:textId="77777777" w:rsidTr="00EB633D">
        <w:trPr>
          <w:trHeight w:val="240"/>
        </w:trPr>
        <w:tc>
          <w:tcPr>
            <w:tcW w:w="2972" w:type="dxa"/>
            <w:tcBorders>
              <w:top w:val="single" w:sz="4" w:space="0" w:color="auto"/>
              <w:right w:val="single" w:sz="4" w:space="0" w:color="auto"/>
            </w:tcBorders>
            <w:tcMar>
              <w:top w:w="0" w:type="dxa"/>
              <w:left w:w="6" w:type="dxa"/>
              <w:bottom w:w="0" w:type="dxa"/>
              <w:right w:w="6" w:type="dxa"/>
            </w:tcMar>
            <w:hideMark/>
          </w:tcPr>
          <w:p w14:paraId="58694B4D"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разрешение на размещение средства наружной рекламы</w:t>
            </w:r>
          </w:p>
        </w:tc>
        <w:tc>
          <w:tcPr>
            <w:tcW w:w="6237" w:type="dxa"/>
            <w:tcBorders>
              <w:top w:val="single" w:sz="4" w:space="0" w:color="auto"/>
              <w:left w:val="single" w:sz="4" w:space="0" w:color="auto"/>
              <w:right w:val="single" w:sz="4" w:space="0" w:color="auto"/>
            </w:tcBorders>
            <w:tcMar>
              <w:top w:w="0" w:type="dxa"/>
              <w:left w:w="6" w:type="dxa"/>
              <w:bottom w:w="0" w:type="dxa"/>
              <w:right w:w="6" w:type="dxa"/>
            </w:tcMar>
            <w:hideMark/>
          </w:tcPr>
          <w:p w14:paraId="5A7AAE20"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 xml:space="preserve">срок действия переоформленного разрешения должен соответствовать сроку действия ранее выданного разрешения, а в случае переоформления разрешения в связи с модернизацией средства </w:t>
            </w:r>
            <w:r w:rsidRPr="00EB633D">
              <w:rPr>
                <w:rFonts w:ascii="Times New Roman" w:eastAsia="Times New Roman" w:hAnsi="Times New Roman" w:cs="Times New Roman"/>
                <w:kern w:val="0"/>
                <w:sz w:val="20"/>
                <w:szCs w:val="20"/>
                <w:lang w:eastAsia="ru-RU"/>
                <w14:ligatures w14:val="none"/>
              </w:rPr>
              <w:lastRenderedPageBreak/>
              <w:t>наружной рекламы, в результате которой изменяется вид средства наружной рекламы и (или) в допустимых размерах площадь его рекламного поля, – сроку действия разрешения на размещение соответствующего средства наружной рекламы, предусмотренному в пункте 3 Регламента административной процедуры, осуществляемой в отношении субъектов хозяйствования, по подпункту 8.13.1 «Получение разрешения на размещение средства наружной рекламы», утвержденного постановлением, утвердившим настоящий Регламент</w:t>
            </w:r>
          </w:p>
        </w:tc>
        <w:tc>
          <w:tcPr>
            <w:tcW w:w="1417" w:type="dxa"/>
            <w:tcBorders>
              <w:top w:val="single" w:sz="4" w:space="0" w:color="auto"/>
              <w:left w:val="single" w:sz="4" w:space="0" w:color="auto"/>
            </w:tcBorders>
            <w:tcMar>
              <w:top w:w="0" w:type="dxa"/>
              <w:left w:w="6" w:type="dxa"/>
              <w:bottom w:w="0" w:type="dxa"/>
              <w:right w:w="6" w:type="dxa"/>
            </w:tcMar>
            <w:hideMark/>
          </w:tcPr>
          <w:p w14:paraId="2F76E3B5"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lastRenderedPageBreak/>
              <w:t>письменная</w:t>
            </w:r>
          </w:p>
        </w:tc>
      </w:tr>
    </w:tbl>
    <w:p w14:paraId="4D383848"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 </w:t>
      </w:r>
    </w:p>
    <w:p w14:paraId="00D3F34F"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Иные действия, совершаемые уполномоченным органом по исполнению административного решения:</w:t>
      </w:r>
    </w:p>
    <w:p w14:paraId="5E29C64F"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включение государственным учреждением «Администрация Китайско-Белорусского индустриального парка «Великий камень» сведений о принятом административном решении в реестр административных и иных решений, принимаемых учреждением «Администрация Китайско-Белорусского индустриального парка «Великий камень» при осуществлении процедур;</w:t>
      </w:r>
    </w:p>
    <w:p w14:paraId="03A9AFC7"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перенесение необходимых данных из ранее утвержденного паспорта средства наружной рекламы в новый паспорт средства наружной рекламы и нанесения на него штампа, содержащего слово «ПЕРЕОФОРМЛЕН».</w:t>
      </w:r>
    </w:p>
    <w:p w14:paraId="1FC91387"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 – плата за услуги (за исключением случаев бесплатного осуществления административной процедуры):</w:t>
      </w:r>
    </w:p>
    <w:p w14:paraId="7FFED84A"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4.1. затраты, непосредственно связанные с оказанием услуг при осуществлении административной процедуры:</w:t>
      </w:r>
    </w:p>
    <w:p w14:paraId="6EBC7C33"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оплата труда работников, принимающих непосредственное участие в оказании услуг (работ) при осуществлении административной процедуры, обязательные страховые взносы в государственный внебюджетный фонд социальной защиты населения Республики Беларусь, страховые взносы по обязательному страхованию от несчастных случаев на производстве и профессиональных заболеваний;</w:t>
      </w:r>
    </w:p>
    <w:p w14:paraId="4FF5B154"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материалы, используемые при оказании услуг при осуществлении административной процедуры;</w:t>
      </w:r>
    </w:p>
    <w:p w14:paraId="1FA0C6A6"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иные затраты, непосредственно связанные с оказанием услуг при осуществлении административной процедуры (в том числе амортизация основных средств и нематериальных активов, арендная плата, текущее обслуживание программных систем);</w:t>
      </w:r>
    </w:p>
    <w:p w14:paraId="75F18DB1"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4.2. прочие затраты, которые не относятся напрямую к затратам, непосредственно связанным с оказанием услуг (работ) при осуществлении административной процедуры:</w:t>
      </w:r>
    </w:p>
    <w:p w14:paraId="4ED5B2C4"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коммунальные услуги;</w:t>
      </w:r>
    </w:p>
    <w:p w14:paraId="7737DF98"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услуги связи;</w:t>
      </w:r>
    </w:p>
    <w:p w14:paraId="3589B49E"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иные услуги сторонних организаций (в том числе охрана, текущий ремонт и обслуживание оргтехники);</w:t>
      </w:r>
    </w:p>
    <w:p w14:paraId="7EE2E889"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оплата труда работников, которые не принимают непосредственного участия в оказании услуг (работ) при осуществлении административной процедуры, обязательные страховые взносы в государственный внебюджетный фонд социальной защиты населения Республики Беларусь, страховые взносы по обязательному страхованию от несчастных случаев на производстве и профессиональных заболеваний;</w:t>
      </w:r>
    </w:p>
    <w:p w14:paraId="61FFD97C"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командировочные расходы;</w:t>
      </w:r>
    </w:p>
    <w:p w14:paraId="2F4764DB"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транспортные затраты;</w:t>
      </w:r>
    </w:p>
    <w:p w14:paraId="60F4F43B"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налоги и иные обязательные платежи, установленные законодательством;</w:t>
      </w:r>
    </w:p>
    <w:p w14:paraId="304A70FF"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прочие затраты (в том числе текущий ремонт зданий, текущий ремонт помещений, поверка, амортизация основных средств и нематериальных активов).</w:t>
      </w:r>
    </w:p>
    <w:p w14:paraId="32DDC041"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5. Порядок подачи (отзыва) административной жалобы:</w:t>
      </w:r>
    </w:p>
    <w:p w14:paraId="00253A62"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 </w:t>
      </w:r>
    </w:p>
    <w:tbl>
      <w:tblPr>
        <w:tblW w:w="10484"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933"/>
        <w:gridCol w:w="2551"/>
      </w:tblGrid>
      <w:tr w:rsidR="00EB633D" w:rsidRPr="00EB633D" w14:paraId="082D1095" w14:textId="77777777" w:rsidTr="00EB633D">
        <w:trPr>
          <w:trHeight w:val="240"/>
        </w:trPr>
        <w:tc>
          <w:tcPr>
            <w:tcW w:w="7933" w:type="dxa"/>
            <w:tcBorders>
              <w:bottom w:val="single" w:sz="4" w:space="0" w:color="auto"/>
              <w:right w:val="single" w:sz="4" w:space="0" w:color="auto"/>
            </w:tcBorders>
            <w:tcMar>
              <w:top w:w="0" w:type="dxa"/>
              <w:left w:w="6" w:type="dxa"/>
              <w:bottom w:w="0" w:type="dxa"/>
              <w:right w:w="6" w:type="dxa"/>
            </w:tcMar>
            <w:hideMark/>
          </w:tcPr>
          <w:p w14:paraId="2F3D80FE" w14:textId="77777777" w:rsidR="00EB633D" w:rsidRPr="00EB633D" w:rsidRDefault="00EB633D" w:rsidP="00EB633D">
            <w:pPr>
              <w:spacing w:after="0" w:line="240" w:lineRule="auto"/>
              <w:jc w:val="center"/>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Наименование государственного органа (иной организации), рассматривающего административную жалобу</w:t>
            </w:r>
          </w:p>
        </w:tc>
        <w:tc>
          <w:tcPr>
            <w:tcW w:w="2551" w:type="dxa"/>
            <w:tcBorders>
              <w:left w:val="single" w:sz="4" w:space="0" w:color="auto"/>
              <w:bottom w:val="single" w:sz="4" w:space="0" w:color="auto"/>
            </w:tcBorders>
            <w:tcMar>
              <w:top w:w="0" w:type="dxa"/>
              <w:left w:w="6" w:type="dxa"/>
              <w:bottom w:w="0" w:type="dxa"/>
              <w:right w:w="6" w:type="dxa"/>
            </w:tcMar>
            <w:hideMark/>
          </w:tcPr>
          <w:p w14:paraId="658A5D60" w14:textId="77777777" w:rsidR="00EB633D" w:rsidRPr="00EB633D" w:rsidRDefault="00EB633D" w:rsidP="00EB633D">
            <w:pPr>
              <w:spacing w:after="0" w:line="240" w:lineRule="auto"/>
              <w:jc w:val="center"/>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Форма подачи (отзыва) административной жалобы (электронная и (или) письменная форма)</w:t>
            </w:r>
          </w:p>
        </w:tc>
      </w:tr>
      <w:tr w:rsidR="00EB633D" w:rsidRPr="00EB633D" w14:paraId="5393BD93" w14:textId="77777777" w:rsidTr="00EB633D">
        <w:trPr>
          <w:trHeight w:val="240"/>
        </w:trPr>
        <w:tc>
          <w:tcPr>
            <w:tcW w:w="7933" w:type="dxa"/>
            <w:tcBorders>
              <w:top w:val="single" w:sz="4" w:space="0" w:color="auto"/>
              <w:right w:val="single" w:sz="4" w:space="0" w:color="auto"/>
            </w:tcBorders>
            <w:tcMar>
              <w:top w:w="0" w:type="dxa"/>
              <w:left w:w="6" w:type="dxa"/>
              <w:bottom w:w="0" w:type="dxa"/>
              <w:right w:w="6" w:type="dxa"/>
            </w:tcMar>
            <w:hideMark/>
          </w:tcPr>
          <w:p w14:paraId="43E1DC66"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соответствующий областной исполнительный комитет – в случае обжалования административного решения, принятого городским (города областного подчинения) или районным исполнительным комитетом</w:t>
            </w:r>
          </w:p>
        </w:tc>
        <w:tc>
          <w:tcPr>
            <w:tcW w:w="2551" w:type="dxa"/>
            <w:tcBorders>
              <w:top w:val="single" w:sz="4" w:space="0" w:color="auto"/>
              <w:left w:val="single" w:sz="4" w:space="0" w:color="auto"/>
            </w:tcBorders>
            <w:tcMar>
              <w:top w:w="0" w:type="dxa"/>
              <w:left w:w="6" w:type="dxa"/>
              <w:bottom w:w="0" w:type="dxa"/>
              <w:right w:w="6" w:type="dxa"/>
            </w:tcMar>
            <w:hideMark/>
          </w:tcPr>
          <w:p w14:paraId="4AD11EB4" w14:textId="77777777" w:rsidR="00EB633D" w:rsidRPr="00EB633D" w:rsidRDefault="00EB633D" w:rsidP="00EB633D">
            <w:pPr>
              <w:spacing w:after="0" w:line="240" w:lineRule="auto"/>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электронная и (или) письменная</w:t>
            </w:r>
          </w:p>
        </w:tc>
      </w:tr>
    </w:tbl>
    <w:p w14:paraId="5A8A88DB" w14:textId="27DC185B"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tbl>
      <w:tblPr>
        <w:tblW w:w="11055" w:type="dxa"/>
        <w:tblCellMar>
          <w:left w:w="0" w:type="dxa"/>
          <w:right w:w="0" w:type="dxa"/>
        </w:tblCellMar>
        <w:tblLook w:val="04A0" w:firstRow="1" w:lastRow="0" w:firstColumn="1" w:lastColumn="0" w:noHBand="0" w:noVBand="1"/>
      </w:tblPr>
      <w:tblGrid>
        <w:gridCol w:w="6663"/>
        <w:gridCol w:w="4392"/>
      </w:tblGrid>
      <w:tr w:rsidR="00EB633D" w:rsidRPr="00EB633D" w14:paraId="7E1A97F6" w14:textId="77777777" w:rsidTr="00EB633D">
        <w:tc>
          <w:tcPr>
            <w:tcW w:w="6663" w:type="dxa"/>
            <w:tcMar>
              <w:top w:w="0" w:type="dxa"/>
              <w:left w:w="6" w:type="dxa"/>
              <w:bottom w:w="0" w:type="dxa"/>
              <w:right w:w="6" w:type="dxa"/>
            </w:tcMar>
            <w:hideMark/>
          </w:tcPr>
          <w:p w14:paraId="0FB11D84" w14:textId="77777777" w:rsidR="00EB633D" w:rsidRPr="00EB633D" w:rsidRDefault="00EB633D" w:rsidP="00EB633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B633D">
              <w:rPr>
                <w:rFonts w:ascii="Times New Roman" w:eastAsia="Times New Roman" w:hAnsi="Times New Roman" w:cs="Times New Roman"/>
                <w:kern w:val="0"/>
                <w:sz w:val="24"/>
                <w:szCs w:val="24"/>
                <w:lang w:eastAsia="ru-RU"/>
                <w14:ligatures w14:val="none"/>
              </w:rPr>
              <w:t> </w:t>
            </w:r>
          </w:p>
        </w:tc>
        <w:tc>
          <w:tcPr>
            <w:tcW w:w="4392" w:type="dxa"/>
            <w:tcMar>
              <w:top w:w="0" w:type="dxa"/>
              <w:left w:w="6" w:type="dxa"/>
              <w:bottom w:w="0" w:type="dxa"/>
              <w:right w:w="6" w:type="dxa"/>
            </w:tcMar>
            <w:hideMark/>
          </w:tcPr>
          <w:p w14:paraId="18C61045" w14:textId="77777777" w:rsidR="00EB633D" w:rsidRPr="00EB633D" w:rsidRDefault="00EB633D" w:rsidP="00EB633D">
            <w:pPr>
              <w:spacing w:after="28" w:line="240" w:lineRule="auto"/>
              <w:rPr>
                <w:rFonts w:ascii="Times New Roman" w:eastAsia="Times New Roman" w:hAnsi="Times New Roman" w:cs="Times New Roman"/>
                <w:kern w:val="0"/>
                <w:sz w:val="18"/>
                <w:szCs w:val="18"/>
                <w:lang w:eastAsia="ru-RU"/>
                <w14:ligatures w14:val="none"/>
              </w:rPr>
            </w:pPr>
            <w:r w:rsidRPr="00EB633D">
              <w:rPr>
                <w:rFonts w:ascii="Times New Roman" w:eastAsia="Times New Roman" w:hAnsi="Times New Roman" w:cs="Times New Roman"/>
                <w:kern w:val="0"/>
                <w:sz w:val="18"/>
                <w:szCs w:val="18"/>
                <w:lang w:eastAsia="ru-RU"/>
                <w14:ligatures w14:val="none"/>
              </w:rPr>
              <w:t>Приложение</w:t>
            </w:r>
          </w:p>
          <w:p w14:paraId="016AED34" w14:textId="77777777" w:rsidR="00EB633D" w:rsidRPr="00EB633D" w:rsidRDefault="00EB633D" w:rsidP="00EB633D">
            <w:pPr>
              <w:spacing w:after="0" w:line="240" w:lineRule="auto"/>
              <w:rPr>
                <w:rFonts w:ascii="Times New Roman" w:eastAsia="Times New Roman" w:hAnsi="Times New Roman" w:cs="Times New Roman"/>
                <w:kern w:val="0"/>
                <w:lang w:eastAsia="ru-RU"/>
                <w14:ligatures w14:val="none"/>
              </w:rPr>
            </w:pPr>
            <w:r w:rsidRPr="00EB633D">
              <w:rPr>
                <w:rFonts w:ascii="Times New Roman" w:eastAsia="Times New Roman" w:hAnsi="Times New Roman" w:cs="Times New Roman"/>
                <w:kern w:val="0"/>
                <w:sz w:val="18"/>
                <w:szCs w:val="18"/>
                <w:lang w:eastAsia="ru-RU"/>
                <w14:ligatures w14:val="none"/>
              </w:rPr>
              <w:t>к Регламенту административной процедуры,</w:t>
            </w:r>
            <w:r w:rsidRPr="00EB633D">
              <w:rPr>
                <w:rFonts w:ascii="Times New Roman" w:eastAsia="Times New Roman" w:hAnsi="Times New Roman" w:cs="Times New Roman"/>
                <w:kern w:val="0"/>
                <w:sz w:val="18"/>
                <w:szCs w:val="18"/>
                <w:lang w:eastAsia="ru-RU"/>
                <w14:ligatures w14:val="none"/>
              </w:rPr>
              <w:br/>
              <w:t>осуществляемой в отношении субъектов</w:t>
            </w:r>
            <w:r w:rsidRPr="00EB633D">
              <w:rPr>
                <w:rFonts w:ascii="Times New Roman" w:eastAsia="Times New Roman" w:hAnsi="Times New Roman" w:cs="Times New Roman"/>
                <w:kern w:val="0"/>
                <w:sz w:val="18"/>
                <w:szCs w:val="18"/>
                <w:lang w:eastAsia="ru-RU"/>
                <w14:ligatures w14:val="none"/>
              </w:rPr>
              <w:br/>
              <w:t>хозяйствования, по подпункту 8.13.3</w:t>
            </w:r>
            <w:r w:rsidRPr="00EB633D">
              <w:rPr>
                <w:rFonts w:ascii="Times New Roman" w:eastAsia="Times New Roman" w:hAnsi="Times New Roman" w:cs="Times New Roman"/>
                <w:kern w:val="0"/>
                <w:sz w:val="18"/>
                <w:szCs w:val="18"/>
                <w:lang w:eastAsia="ru-RU"/>
                <w14:ligatures w14:val="none"/>
              </w:rPr>
              <w:br/>
              <w:t>«Переоформление разрешения</w:t>
            </w:r>
            <w:r w:rsidRPr="00EB633D">
              <w:rPr>
                <w:rFonts w:ascii="Times New Roman" w:eastAsia="Times New Roman" w:hAnsi="Times New Roman" w:cs="Times New Roman"/>
                <w:kern w:val="0"/>
                <w:sz w:val="18"/>
                <w:szCs w:val="18"/>
                <w:lang w:eastAsia="ru-RU"/>
                <w14:ligatures w14:val="none"/>
              </w:rPr>
              <w:br/>
              <w:t>на размещение средства наружной рекламы»</w:t>
            </w:r>
            <w:r w:rsidRPr="00EB633D">
              <w:rPr>
                <w:rFonts w:ascii="Times New Roman" w:eastAsia="Times New Roman" w:hAnsi="Times New Roman" w:cs="Times New Roman"/>
                <w:kern w:val="0"/>
                <w:sz w:val="18"/>
                <w:szCs w:val="18"/>
                <w:lang w:eastAsia="ru-RU"/>
                <w14:ligatures w14:val="none"/>
              </w:rPr>
              <w:br/>
              <w:t>(в редакции постановления</w:t>
            </w:r>
            <w:r w:rsidRPr="00EB633D">
              <w:rPr>
                <w:rFonts w:ascii="Times New Roman" w:eastAsia="Times New Roman" w:hAnsi="Times New Roman" w:cs="Times New Roman"/>
                <w:kern w:val="0"/>
                <w:sz w:val="18"/>
                <w:szCs w:val="18"/>
                <w:lang w:eastAsia="ru-RU"/>
                <w14:ligatures w14:val="none"/>
              </w:rPr>
              <w:br/>
              <w:t>Министерства антимонопольного</w:t>
            </w:r>
            <w:r w:rsidRPr="00EB633D">
              <w:rPr>
                <w:rFonts w:ascii="Times New Roman" w:eastAsia="Times New Roman" w:hAnsi="Times New Roman" w:cs="Times New Roman"/>
                <w:kern w:val="0"/>
                <w:sz w:val="18"/>
                <w:szCs w:val="18"/>
                <w:lang w:eastAsia="ru-RU"/>
                <w14:ligatures w14:val="none"/>
              </w:rPr>
              <w:br/>
              <w:t>регулирования и торговли</w:t>
            </w:r>
            <w:r w:rsidRPr="00EB633D">
              <w:rPr>
                <w:rFonts w:ascii="Times New Roman" w:eastAsia="Times New Roman" w:hAnsi="Times New Roman" w:cs="Times New Roman"/>
                <w:kern w:val="0"/>
                <w:sz w:val="18"/>
                <w:szCs w:val="18"/>
                <w:lang w:eastAsia="ru-RU"/>
                <w14:ligatures w14:val="none"/>
              </w:rPr>
              <w:br/>
              <w:t>Республики Беларусь</w:t>
            </w:r>
            <w:r w:rsidRPr="00EB633D">
              <w:rPr>
                <w:rFonts w:ascii="Times New Roman" w:eastAsia="Times New Roman" w:hAnsi="Times New Roman" w:cs="Times New Roman"/>
                <w:kern w:val="0"/>
                <w:sz w:val="18"/>
                <w:szCs w:val="18"/>
                <w:lang w:eastAsia="ru-RU"/>
                <w14:ligatures w14:val="none"/>
              </w:rPr>
              <w:br/>
              <w:t>10.06.2024 № 40)</w:t>
            </w:r>
          </w:p>
        </w:tc>
      </w:tr>
    </w:tbl>
    <w:p w14:paraId="5D44C1C9"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 </w:t>
      </w:r>
    </w:p>
    <w:p w14:paraId="31CB2658" w14:textId="77777777" w:rsidR="00EB633D" w:rsidRPr="00EB633D" w:rsidRDefault="00EB633D" w:rsidP="00EB633D">
      <w:pPr>
        <w:spacing w:after="0" w:line="240" w:lineRule="auto"/>
        <w:jc w:val="right"/>
        <w:rPr>
          <w:rFonts w:ascii="Times New Roman" w:eastAsia="Times New Roman" w:hAnsi="Times New Roman" w:cs="Times New Roman"/>
          <w:color w:val="000000"/>
          <w:kern w:val="0"/>
          <w:lang w:eastAsia="ru-RU"/>
          <w14:ligatures w14:val="none"/>
        </w:rPr>
      </w:pPr>
      <w:r w:rsidRPr="00EB633D">
        <w:rPr>
          <w:rFonts w:ascii="Times New Roman" w:eastAsia="Times New Roman" w:hAnsi="Times New Roman" w:cs="Times New Roman"/>
          <w:color w:val="000000"/>
          <w:kern w:val="0"/>
          <w:lang w:eastAsia="ru-RU"/>
          <w14:ligatures w14:val="none"/>
        </w:rPr>
        <w:t>Форма</w:t>
      </w:r>
    </w:p>
    <w:p w14:paraId="598ACE24" w14:textId="77777777" w:rsidR="00EB633D" w:rsidRPr="00EB633D" w:rsidRDefault="00EB633D" w:rsidP="00EB633D">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 </w:t>
      </w:r>
    </w:p>
    <w:p w14:paraId="3D13228E" w14:textId="77777777" w:rsidR="00EB633D" w:rsidRPr="00EB633D" w:rsidRDefault="00EB633D" w:rsidP="00EB633D">
      <w:pPr>
        <w:spacing w:after="0" w:line="240" w:lineRule="auto"/>
        <w:ind w:left="4111"/>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__________________________________________</w:t>
      </w:r>
    </w:p>
    <w:p w14:paraId="22217582" w14:textId="77777777" w:rsidR="00EB633D" w:rsidRPr="00EB633D" w:rsidRDefault="00EB633D" w:rsidP="00EB633D">
      <w:pPr>
        <w:spacing w:after="0" w:line="240" w:lineRule="auto"/>
        <w:ind w:left="4111" w:right="155"/>
        <w:jc w:val="center"/>
        <w:rPr>
          <w:rFonts w:ascii="Times New Roman" w:eastAsia="Times New Roman" w:hAnsi="Times New Roman" w:cs="Times New Roman"/>
          <w:color w:val="000000"/>
          <w:kern w:val="0"/>
          <w:sz w:val="20"/>
          <w:szCs w:val="20"/>
          <w:lang w:eastAsia="ru-RU"/>
          <w14:ligatures w14:val="none"/>
        </w:rPr>
      </w:pPr>
      <w:r w:rsidRPr="00EB633D">
        <w:rPr>
          <w:rFonts w:ascii="Times New Roman" w:eastAsia="Times New Roman" w:hAnsi="Times New Roman" w:cs="Times New Roman"/>
          <w:color w:val="000000"/>
          <w:kern w:val="0"/>
          <w:sz w:val="20"/>
          <w:szCs w:val="20"/>
          <w:lang w:eastAsia="ru-RU"/>
          <w14:ligatures w14:val="none"/>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14:paraId="78A5C07C" w14:textId="77777777" w:rsidR="00EB633D" w:rsidRPr="00EB633D" w:rsidRDefault="00EB633D" w:rsidP="00EB633D">
      <w:pPr>
        <w:spacing w:after="0" w:line="240" w:lineRule="auto"/>
        <w:ind w:left="1134"/>
        <w:jc w:val="center"/>
        <w:rPr>
          <w:rFonts w:ascii="Times New Roman" w:eastAsia="Times New Roman" w:hAnsi="Times New Roman" w:cs="Times New Roman"/>
          <w:b/>
          <w:bCs/>
          <w:color w:val="000000"/>
          <w:kern w:val="0"/>
          <w:sz w:val="24"/>
          <w:szCs w:val="24"/>
          <w:lang w:eastAsia="ru-RU"/>
          <w14:ligatures w14:val="none"/>
        </w:rPr>
      </w:pPr>
      <w:r w:rsidRPr="00EB633D">
        <w:rPr>
          <w:rFonts w:ascii="Times New Roman" w:eastAsia="Times New Roman" w:hAnsi="Times New Roman" w:cs="Times New Roman"/>
          <w:b/>
          <w:bCs/>
          <w:color w:val="000000"/>
          <w:kern w:val="0"/>
          <w:sz w:val="24"/>
          <w:szCs w:val="24"/>
          <w:lang w:eastAsia="ru-RU"/>
          <w14:ligatures w14:val="none"/>
        </w:rPr>
        <w:t>ЗАЯВЛЕНИЕ</w:t>
      </w:r>
      <w:r w:rsidRPr="00EB633D">
        <w:rPr>
          <w:rFonts w:ascii="Times New Roman" w:eastAsia="Times New Roman" w:hAnsi="Times New Roman" w:cs="Times New Roman"/>
          <w:b/>
          <w:bCs/>
          <w:color w:val="000000"/>
          <w:kern w:val="0"/>
          <w:sz w:val="24"/>
          <w:szCs w:val="24"/>
          <w:lang w:eastAsia="ru-RU"/>
          <w14:ligatures w14:val="none"/>
        </w:rPr>
        <w:br/>
        <w:t>на переоформление разрешения на размещение средства наружной рекламы</w:t>
      </w:r>
    </w:p>
    <w:p w14:paraId="09D64119"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Сведения о рекламораспространителе:</w:t>
      </w:r>
    </w:p>
    <w:p w14:paraId="7B8C0CDB"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наименование (фамилия, собственное имя, отчество (если таковое имеется) _____________________________________________________________________________</w:t>
      </w:r>
    </w:p>
    <w:p w14:paraId="46D63747"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учетный номер плательщика _______________________________________________</w:t>
      </w:r>
    </w:p>
    <w:p w14:paraId="2313733D"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место нахождения (место жительства или место пребывания) _____________________________________________________________________________</w:t>
      </w:r>
    </w:p>
    <w:p w14:paraId="3C38B9D6" w14:textId="77777777" w:rsidR="00EB633D" w:rsidRPr="00EB633D" w:rsidRDefault="00EB633D" w:rsidP="00EB633D">
      <w:pPr>
        <w:spacing w:after="0" w:line="240" w:lineRule="auto"/>
        <w:ind w:left="1134"/>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w:t>
      </w:r>
    </w:p>
    <w:p w14:paraId="673E15F0"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номер контактного телефона (код) __________________________________________</w:t>
      </w:r>
    </w:p>
    <w:p w14:paraId="53DC982A"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организация, индивидуальный предприниматель (нужное подчеркнуть);</w:t>
      </w:r>
    </w:p>
    <w:p w14:paraId="50C66663"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оператор наружной рекламы (да/нет) ________________________________________</w:t>
      </w:r>
    </w:p>
    <w:p w14:paraId="6652C9B7"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Сведения о средстве наружной рекламы:</w:t>
      </w:r>
    </w:p>
    <w:p w14:paraId="111164F3"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вид средства наружной рекламы ____________________________________________</w:t>
      </w:r>
    </w:p>
    <w:p w14:paraId="635A6E3B"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адрес (адресные ориентиры) места размещения средства наружной рекламы _____________________________________________________________________________</w:t>
      </w:r>
    </w:p>
    <w:p w14:paraId="1F43B0DE" w14:textId="77777777" w:rsidR="00EB633D" w:rsidRPr="00EB633D" w:rsidRDefault="00EB633D" w:rsidP="00EB633D">
      <w:pPr>
        <w:spacing w:after="0" w:line="240" w:lineRule="auto"/>
        <w:ind w:left="1134"/>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w:t>
      </w:r>
    </w:p>
    <w:p w14:paraId="02E4E98D"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площадь рекламного поля (при наличии), кв. метров ___________________________</w:t>
      </w:r>
    </w:p>
    <w:p w14:paraId="22E082D7"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размещается ли средство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_____________________________________</w:t>
      </w:r>
    </w:p>
    <w:p w14:paraId="1A0849ED"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размещается ли средство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14:paraId="4B08CF15"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Основание для переоформления разрешения:</w:t>
      </w:r>
    </w:p>
    <w:p w14:paraId="2BFD2522"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изменение формы паспорта средства наружной рекламы в связи с изменением законодательства, если иное не предусмотрено законодательством (да/нет), _____________________________________________________________________________</w:t>
      </w:r>
    </w:p>
    <w:p w14:paraId="29864E4A"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переход права собственности, хозяйственного ведения или оперативного управления на средство наружной рекламы к другому рекламораспространителю (да/нет) _____________________________________________________________________________</w:t>
      </w:r>
    </w:p>
    <w:p w14:paraId="2076248F"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модернизация средства наружной рекламы, в результате которой изменяется вид средства наружной рекламы и (или) в допустимых размерах площадь его рекламного поля (да/нет), _____________________________________________________________________</w:t>
      </w:r>
    </w:p>
    <w:p w14:paraId="6F6533D9"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Сведения о договоре на размещение средства наружной рекламы:</w:t>
      </w:r>
    </w:p>
    <w:p w14:paraId="18830AFD"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номер договора __________________________________________________________</w:t>
      </w:r>
    </w:p>
    <w:p w14:paraId="764948D3"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lastRenderedPageBreak/>
        <w:t>дата заключения договора _________________________________________________</w:t>
      </w:r>
    </w:p>
    <w:p w14:paraId="747BBA57"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Сведения о переоформляемом разрешении:</w:t>
      </w:r>
    </w:p>
    <w:p w14:paraId="49A886D4"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номер разрешения ________________________________________________________</w:t>
      </w:r>
    </w:p>
    <w:p w14:paraId="61494A28"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дата утверждения разрешения ______________________________________________</w:t>
      </w:r>
    </w:p>
    <w:p w14:paraId="53AEC3E3"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дата окончания действия разрешения ________________________________________</w:t>
      </w:r>
    </w:p>
    <w:p w14:paraId="729DAFC2"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Сведения о внесении платы, взимаемой при осуществлении административной процедуры по переоформлению действия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_____________________________________________________________________________</w:t>
      </w:r>
    </w:p>
    <w:p w14:paraId="266C8C94"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К заявлению прилагаются документы на ________ листах:</w:t>
      </w:r>
    </w:p>
    <w:p w14:paraId="2D59E135" w14:textId="77777777" w:rsidR="00EB633D" w:rsidRPr="00EB633D" w:rsidRDefault="00EB633D" w:rsidP="00EB633D">
      <w:pPr>
        <w:spacing w:after="0" w:line="240" w:lineRule="auto"/>
        <w:ind w:left="1134"/>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w:t>
      </w:r>
    </w:p>
    <w:p w14:paraId="6C21871E" w14:textId="77777777" w:rsidR="00EB633D" w:rsidRPr="00EB633D" w:rsidRDefault="00EB633D" w:rsidP="00EB633D">
      <w:pPr>
        <w:spacing w:after="0" w:line="240" w:lineRule="auto"/>
        <w:ind w:left="1134"/>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w:t>
      </w:r>
    </w:p>
    <w:p w14:paraId="5D497412" w14:textId="77777777" w:rsidR="00EB633D" w:rsidRPr="00EB633D" w:rsidRDefault="00EB633D" w:rsidP="00EB633D">
      <w:pPr>
        <w:spacing w:after="0" w:line="240" w:lineRule="auto"/>
        <w:ind w:left="1134"/>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w:t>
      </w:r>
    </w:p>
    <w:p w14:paraId="65F6BF36" w14:textId="77777777" w:rsidR="00EB633D" w:rsidRPr="00EB633D" w:rsidRDefault="00EB633D" w:rsidP="00EB633D">
      <w:pPr>
        <w:spacing w:after="0" w:line="240" w:lineRule="auto"/>
        <w:ind w:left="1134"/>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w:t>
      </w:r>
    </w:p>
    <w:p w14:paraId="4612714E"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 </w:t>
      </w:r>
    </w:p>
    <w:tbl>
      <w:tblPr>
        <w:tblW w:w="9354" w:type="dxa"/>
        <w:tblInd w:w="1134" w:type="dxa"/>
        <w:tblCellMar>
          <w:left w:w="0" w:type="dxa"/>
          <w:right w:w="0" w:type="dxa"/>
        </w:tblCellMar>
        <w:tblLook w:val="04A0" w:firstRow="1" w:lastRow="0" w:firstColumn="1" w:lastColumn="0" w:noHBand="0" w:noVBand="1"/>
      </w:tblPr>
      <w:tblGrid>
        <w:gridCol w:w="2261"/>
        <w:gridCol w:w="3967"/>
        <w:gridCol w:w="3126"/>
      </w:tblGrid>
      <w:tr w:rsidR="00EB633D" w:rsidRPr="00EB633D" w14:paraId="6E4A3A47" w14:textId="77777777" w:rsidTr="00EB633D">
        <w:trPr>
          <w:trHeight w:val="240"/>
        </w:trPr>
        <w:tc>
          <w:tcPr>
            <w:tcW w:w="2261" w:type="dxa"/>
            <w:tcBorders>
              <w:bottom w:val="single" w:sz="4" w:space="0" w:color="auto"/>
            </w:tcBorders>
            <w:tcMar>
              <w:top w:w="0" w:type="dxa"/>
              <w:left w:w="6" w:type="dxa"/>
              <w:bottom w:w="0" w:type="dxa"/>
              <w:right w:w="6" w:type="dxa"/>
            </w:tcMar>
            <w:hideMark/>
          </w:tcPr>
          <w:p w14:paraId="4C918C63" w14:textId="77777777" w:rsidR="00EB633D" w:rsidRPr="00EB633D" w:rsidRDefault="00EB633D" w:rsidP="00EB633D">
            <w:pPr>
              <w:spacing w:after="0" w:line="240" w:lineRule="auto"/>
              <w:ind w:left="1134"/>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 </w:t>
            </w:r>
          </w:p>
        </w:tc>
        <w:tc>
          <w:tcPr>
            <w:tcW w:w="3967" w:type="dxa"/>
            <w:tcMar>
              <w:top w:w="0" w:type="dxa"/>
              <w:left w:w="6" w:type="dxa"/>
              <w:bottom w:w="0" w:type="dxa"/>
              <w:right w:w="6" w:type="dxa"/>
            </w:tcMar>
            <w:hideMark/>
          </w:tcPr>
          <w:p w14:paraId="06C37DA5" w14:textId="77777777" w:rsidR="00EB633D" w:rsidRPr="00EB633D" w:rsidRDefault="00EB633D" w:rsidP="00EB633D">
            <w:pPr>
              <w:spacing w:after="0" w:line="240" w:lineRule="auto"/>
              <w:ind w:left="1134"/>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 </w:t>
            </w:r>
          </w:p>
        </w:tc>
        <w:tc>
          <w:tcPr>
            <w:tcW w:w="3126" w:type="dxa"/>
            <w:tcBorders>
              <w:bottom w:val="single" w:sz="4" w:space="0" w:color="auto"/>
            </w:tcBorders>
            <w:tcMar>
              <w:top w:w="0" w:type="dxa"/>
              <w:left w:w="6" w:type="dxa"/>
              <w:bottom w:w="0" w:type="dxa"/>
              <w:right w:w="6" w:type="dxa"/>
            </w:tcMar>
            <w:hideMark/>
          </w:tcPr>
          <w:p w14:paraId="14B7E7F4" w14:textId="77777777" w:rsidR="00EB633D" w:rsidRPr="00EB633D" w:rsidRDefault="00EB633D" w:rsidP="00EB633D">
            <w:pPr>
              <w:spacing w:after="0" w:line="240" w:lineRule="auto"/>
              <w:ind w:left="1134"/>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 </w:t>
            </w:r>
          </w:p>
        </w:tc>
      </w:tr>
      <w:tr w:rsidR="00EB633D" w:rsidRPr="00EB633D" w14:paraId="107D9C10" w14:textId="77777777" w:rsidTr="00EB633D">
        <w:trPr>
          <w:trHeight w:val="240"/>
        </w:trPr>
        <w:tc>
          <w:tcPr>
            <w:tcW w:w="2261" w:type="dxa"/>
            <w:tcBorders>
              <w:top w:val="single" w:sz="4" w:space="0" w:color="auto"/>
            </w:tcBorders>
            <w:tcMar>
              <w:top w:w="0" w:type="dxa"/>
              <w:left w:w="6" w:type="dxa"/>
              <w:bottom w:w="0" w:type="dxa"/>
              <w:right w:w="6" w:type="dxa"/>
            </w:tcMar>
            <w:hideMark/>
          </w:tcPr>
          <w:p w14:paraId="30AAB04D" w14:textId="77777777" w:rsidR="00EB633D" w:rsidRPr="00EB633D" w:rsidRDefault="00EB633D" w:rsidP="00EB633D">
            <w:pPr>
              <w:spacing w:after="0" w:line="240" w:lineRule="auto"/>
              <w:ind w:left="1134"/>
              <w:jc w:val="center"/>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(подпись)</w:t>
            </w:r>
          </w:p>
        </w:tc>
        <w:tc>
          <w:tcPr>
            <w:tcW w:w="3967" w:type="dxa"/>
            <w:tcMar>
              <w:top w:w="0" w:type="dxa"/>
              <w:left w:w="6" w:type="dxa"/>
              <w:bottom w:w="0" w:type="dxa"/>
              <w:right w:w="6" w:type="dxa"/>
            </w:tcMar>
            <w:hideMark/>
          </w:tcPr>
          <w:p w14:paraId="1F3A5337" w14:textId="77777777" w:rsidR="00EB633D" w:rsidRPr="00EB633D" w:rsidRDefault="00EB633D" w:rsidP="00EB633D">
            <w:pPr>
              <w:spacing w:after="0" w:line="240" w:lineRule="auto"/>
              <w:ind w:left="1134"/>
              <w:jc w:val="center"/>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 </w:t>
            </w:r>
          </w:p>
        </w:tc>
        <w:tc>
          <w:tcPr>
            <w:tcW w:w="3126" w:type="dxa"/>
            <w:tcBorders>
              <w:top w:val="single" w:sz="4" w:space="0" w:color="auto"/>
            </w:tcBorders>
            <w:tcMar>
              <w:top w:w="0" w:type="dxa"/>
              <w:left w:w="6" w:type="dxa"/>
              <w:bottom w:w="0" w:type="dxa"/>
              <w:right w:w="6" w:type="dxa"/>
            </w:tcMar>
            <w:hideMark/>
          </w:tcPr>
          <w:p w14:paraId="1B972546" w14:textId="77777777" w:rsidR="00EB633D" w:rsidRPr="00EB633D" w:rsidRDefault="00EB633D" w:rsidP="00EB633D">
            <w:pPr>
              <w:spacing w:after="0" w:line="240" w:lineRule="auto"/>
              <w:ind w:left="1134"/>
              <w:jc w:val="center"/>
              <w:rPr>
                <w:rFonts w:ascii="Times New Roman" w:eastAsia="Times New Roman" w:hAnsi="Times New Roman" w:cs="Times New Roman"/>
                <w:kern w:val="0"/>
                <w:sz w:val="20"/>
                <w:szCs w:val="20"/>
                <w:lang w:eastAsia="ru-RU"/>
                <w14:ligatures w14:val="none"/>
              </w:rPr>
            </w:pPr>
            <w:r w:rsidRPr="00EB633D">
              <w:rPr>
                <w:rFonts w:ascii="Times New Roman" w:eastAsia="Times New Roman" w:hAnsi="Times New Roman" w:cs="Times New Roman"/>
                <w:kern w:val="0"/>
                <w:sz w:val="20"/>
                <w:szCs w:val="20"/>
                <w:lang w:eastAsia="ru-RU"/>
                <w14:ligatures w14:val="none"/>
              </w:rPr>
              <w:t>(фамилия, инициалы)</w:t>
            </w:r>
          </w:p>
        </w:tc>
      </w:tr>
    </w:tbl>
    <w:p w14:paraId="3DD8DD0A" w14:textId="77777777" w:rsidR="00EB633D" w:rsidRPr="00EB633D" w:rsidRDefault="00EB633D" w:rsidP="00EB633D">
      <w:pPr>
        <w:spacing w:after="0" w:line="240" w:lineRule="auto"/>
        <w:ind w:left="1134" w:firstLine="567"/>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 </w:t>
      </w:r>
    </w:p>
    <w:p w14:paraId="43A4B08F" w14:textId="77777777" w:rsidR="00EB633D" w:rsidRPr="00EB633D" w:rsidRDefault="00EB633D" w:rsidP="00EB633D">
      <w:pPr>
        <w:spacing w:after="0" w:line="240" w:lineRule="auto"/>
        <w:ind w:left="1134"/>
        <w:jc w:val="both"/>
        <w:rPr>
          <w:rFonts w:ascii="Times New Roman" w:eastAsia="Times New Roman" w:hAnsi="Times New Roman" w:cs="Times New Roman"/>
          <w:color w:val="000000"/>
          <w:kern w:val="0"/>
          <w:sz w:val="24"/>
          <w:szCs w:val="24"/>
          <w:lang w:eastAsia="ru-RU"/>
          <w14:ligatures w14:val="none"/>
        </w:rPr>
      </w:pPr>
      <w:r w:rsidRPr="00EB633D">
        <w:rPr>
          <w:rFonts w:ascii="Times New Roman" w:eastAsia="Times New Roman" w:hAnsi="Times New Roman" w:cs="Times New Roman"/>
          <w:color w:val="000000"/>
          <w:kern w:val="0"/>
          <w:sz w:val="24"/>
          <w:szCs w:val="24"/>
          <w:lang w:eastAsia="ru-RU"/>
          <w14:ligatures w14:val="none"/>
        </w:rPr>
        <w:t>______________________</w:t>
      </w:r>
    </w:p>
    <w:p w14:paraId="20163551" w14:textId="77777777" w:rsidR="00EB633D" w:rsidRPr="00EB633D" w:rsidRDefault="00EB633D" w:rsidP="00EB633D">
      <w:pPr>
        <w:spacing w:after="0" w:line="240" w:lineRule="auto"/>
        <w:ind w:left="1134"/>
        <w:jc w:val="both"/>
        <w:rPr>
          <w:rFonts w:ascii="Times New Roman" w:eastAsia="Times New Roman" w:hAnsi="Times New Roman" w:cs="Times New Roman"/>
          <w:color w:val="000000"/>
          <w:kern w:val="0"/>
          <w:sz w:val="20"/>
          <w:szCs w:val="20"/>
          <w:lang w:eastAsia="ru-RU"/>
          <w14:ligatures w14:val="none"/>
        </w:rPr>
      </w:pPr>
      <w:r w:rsidRPr="00EB633D">
        <w:rPr>
          <w:rFonts w:ascii="Times New Roman" w:eastAsia="Times New Roman" w:hAnsi="Times New Roman" w:cs="Times New Roman"/>
          <w:color w:val="000000"/>
          <w:kern w:val="0"/>
          <w:sz w:val="20"/>
          <w:szCs w:val="20"/>
          <w:lang w:eastAsia="ru-RU"/>
          <w14:ligatures w14:val="none"/>
        </w:rPr>
        <w:t>(дата подачи заявления)</w:t>
      </w:r>
    </w:p>
    <w:p w14:paraId="495AC6CE" w14:textId="366E5D70" w:rsidR="00FF47DE" w:rsidRDefault="00EB633D" w:rsidP="00EB633D">
      <w:pPr>
        <w:ind w:left="1134"/>
      </w:pPr>
      <w:r w:rsidRPr="00EB633D">
        <w:rPr>
          <w:rFonts w:ascii="Times New Roman" w:eastAsia="Times New Roman" w:hAnsi="Times New Roman" w:cs="Times New Roman"/>
          <w:color w:val="000000"/>
          <w:kern w:val="0"/>
          <w:sz w:val="28"/>
          <w:szCs w:val="28"/>
          <w:lang w:eastAsia="ru-RU"/>
          <w14:ligatures w14:val="none"/>
        </w:rPr>
        <w:br/>
      </w:r>
    </w:p>
    <w:sectPr w:rsidR="00FF47DE" w:rsidSect="00EB6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3D"/>
    <w:rsid w:val="00EB633D"/>
    <w:rsid w:val="00EC0A8F"/>
    <w:rsid w:val="00FF4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81F2"/>
  <w15:chartTrackingRefBased/>
  <w15:docId w15:val="{4C2AAD84-DCEB-4900-8B06-1973CD89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5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3491</Words>
  <Characters>19900</Characters>
  <Application>Microsoft Office Word</Application>
  <DocSecurity>0</DocSecurity>
  <Lines>165</Lines>
  <Paragraphs>46</Paragraphs>
  <ScaleCrop>false</ScaleCrop>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Клещукевич Марина Борисовна</dc:creator>
  <cp:keywords/>
  <dc:description/>
  <cp:lastModifiedBy>Клещукевич Марина Борисовна</cp:lastModifiedBy>
  <cp:revision>1</cp:revision>
  <dcterms:created xsi:type="dcterms:W3CDTF">2024-08-06T06:33:00Z</dcterms:created>
  <dcterms:modified xsi:type="dcterms:W3CDTF">2024-08-06T06:40:00Z</dcterms:modified>
</cp:coreProperties>
</file>